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F480" w14:textId="77777777" w:rsidR="00D003BB" w:rsidRPr="008463ED" w:rsidRDefault="00D003BB" w:rsidP="00743257">
      <w:pPr>
        <w:widowControl/>
        <w:jc w:val="both"/>
        <w:rPr>
          <w:rFonts w:ascii="Consolas" w:hAnsi="Consolas" w:cs="Arial"/>
        </w:rPr>
      </w:pPr>
    </w:p>
    <w:p w14:paraId="57957A23" w14:textId="77777777" w:rsidR="00D003BB" w:rsidRPr="008463ED" w:rsidRDefault="00D003BB" w:rsidP="00B255AB">
      <w:pPr>
        <w:widowControl/>
        <w:jc w:val="both"/>
        <w:rPr>
          <w:rFonts w:ascii="Consolas" w:hAnsi="Consolas" w:cs="Arial"/>
        </w:rPr>
      </w:pPr>
    </w:p>
    <w:p w14:paraId="1C7B6DEE" w14:textId="77777777" w:rsidR="00D003BB" w:rsidRPr="008463ED" w:rsidRDefault="00D942C4" w:rsidP="00D126C0">
      <w:pPr>
        <w:widowControl/>
        <w:jc w:val="center"/>
        <w:rPr>
          <w:rFonts w:ascii="Consolas" w:hAnsi="Consolas" w:cs="Arial"/>
          <w:b/>
          <w:sz w:val="24"/>
          <w:szCs w:val="24"/>
        </w:rPr>
      </w:pPr>
      <w:r w:rsidRPr="008463ED">
        <w:rPr>
          <w:rFonts w:ascii="Consolas" w:hAnsi="Consolas" w:cs="Arial"/>
          <w:b/>
          <w:sz w:val="24"/>
          <w:szCs w:val="24"/>
        </w:rPr>
        <w:t>Kierunku strategiczne wg strategii 2015-2020</w:t>
      </w:r>
      <w:r w:rsidR="00D126C0" w:rsidRPr="008463ED">
        <w:rPr>
          <w:rFonts w:ascii="Consolas" w:hAnsi="Consolas" w:cs="Arial"/>
          <w:b/>
          <w:sz w:val="24"/>
          <w:szCs w:val="24"/>
        </w:rPr>
        <w:t xml:space="preserve"> – robocze zestawienie realizacyjne</w:t>
      </w:r>
    </w:p>
    <w:p w14:paraId="4634F570" w14:textId="4E44DD71" w:rsidR="00D126C0" w:rsidRPr="008463ED" w:rsidRDefault="00765832" w:rsidP="00D126C0">
      <w:pPr>
        <w:widowControl/>
        <w:jc w:val="center"/>
        <w:rPr>
          <w:rFonts w:ascii="Consolas" w:hAnsi="Consolas" w:cs="Arial"/>
          <w:b/>
          <w:sz w:val="24"/>
          <w:szCs w:val="24"/>
        </w:rPr>
      </w:pPr>
      <w:r>
        <w:rPr>
          <w:rFonts w:ascii="Consolas" w:hAnsi="Consolas" w:cs="Arial"/>
          <w:b/>
          <w:sz w:val="24"/>
          <w:szCs w:val="24"/>
        </w:rPr>
        <w:t>w</w:t>
      </w:r>
      <w:bookmarkStart w:id="0" w:name="_GoBack"/>
      <w:bookmarkEnd w:id="0"/>
      <w:r>
        <w:rPr>
          <w:rFonts w:ascii="Consolas" w:hAnsi="Consolas" w:cs="Arial"/>
          <w:b/>
          <w:sz w:val="24"/>
          <w:szCs w:val="24"/>
        </w:rPr>
        <w:t>3</w:t>
      </w:r>
    </w:p>
    <w:p w14:paraId="78B8A971" w14:textId="77777777" w:rsidR="006E16A5" w:rsidRPr="008463ED" w:rsidRDefault="006E16A5" w:rsidP="00743257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218"/>
        <w:gridCol w:w="6343"/>
        <w:gridCol w:w="6012"/>
      </w:tblGrid>
      <w:tr w:rsidR="00A205CE" w:rsidRPr="008463ED" w14:paraId="4F2600F4" w14:textId="77777777" w:rsidTr="00F73F21">
        <w:trPr>
          <w:cantSplit/>
        </w:trPr>
        <w:tc>
          <w:tcPr>
            <w:tcW w:w="1218" w:type="dxa"/>
          </w:tcPr>
          <w:p w14:paraId="5F49597F" w14:textId="77777777" w:rsidR="00A205CE" w:rsidRPr="008463ED" w:rsidRDefault="00A205CE" w:rsidP="001C6E22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1BFB4A4F" w14:textId="77777777" w:rsidR="00A205CE" w:rsidRPr="008463ED" w:rsidRDefault="00A205CE" w:rsidP="00743257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„Wspólnota – członkowie, sympatycy, współpraca”</w:t>
            </w:r>
          </w:p>
        </w:tc>
        <w:tc>
          <w:tcPr>
            <w:tcW w:w="6012" w:type="dxa"/>
          </w:tcPr>
          <w:p w14:paraId="125E8521" w14:textId="77777777" w:rsidR="00A205CE" w:rsidRPr="008463ED" w:rsidRDefault="009044E4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A205CE" w:rsidRPr="008463ED" w14:paraId="469585F7" w14:textId="77777777" w:rsidTr="00F73F21">
        <w:trPr>
          <w:cantSplit/>
        </w:trPr>
        <w:tc>
          <w:tcPr>
            <w:tcW w:w="1218" w:type="dxa"/>
          </w:tcPr>
          <w:p w14:paraId="7FFF72CB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05E3D401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Organizacja spotkań, konferencji, seminariów, debat promujących innowacyjność i nowości, integrujących środowisko, w tym np. nowej centralnej członkowskiej konferencji merytoryczno-integracyjnej PTI.</w:t>
            </w:r>
          </w:p>
        </w:tc>
        <w:tc>
          <w:tcPr>
            <w:tcW w:w="6012" w:type="dxa"/>
          </w:tcPr>
          <w:p w14:paraId="1048E064" w14:textId="77777777" w:rsidR="00A205CE" w:rsidRPr="008463ED" w:rsidRDefault="00426B7F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Są organizowane, np. w trakcie ŚDSI, obchodów 70-lecia Polskiej Informatyki,</w:t>
            </w:r>
            <w:r w:rsidR="00AC62D6" w:rsidRPr="008463ED">
              <w:rPr>
                <w:rFonts w:ascii="Consolas" w:hAnsi="Consolas"/>
              </w:rPr>
              <w:t xml:space="preserve"> lub jako imprezy integracyjne MNI,IT CUP</w:t>
            </w:r>
            <w:r w:rsidRPr="008463ED">
              <w:rPr>
                <w:rFonts w:ascii="Consolas" w:hAnsi="Consolas"/>
              </w:rPr>
              <w:t xml:space="preserve"> itd.</w:t>
            </w:r>
          </w:p>
          <w:p w14:paraId="56D50E61" w14:textId="670CFD03" w:rsidR="00426B7F" w:rsidRPr="008463ED" w:rsidRDefault="00426B7F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Nie podjęto kwestii nowej centralnej członkowskiej konferencji merytoryczno-integracyjnej PTI.</w:t>
            </w:r>
            <w:r w:rsidR="007D03C2">
              <w:rPr>
                <w:rFonts w:ascii="Consolas" w:hAnsi="Consolas"/>
              </w:rPr>
              <w:t xml:space="preserve"> </w:t>
            </w:r>
            <w:r w:rsidR="007D03C2">
              <w:rPr>
                <w:rFonts w:ascii="Consolas" w:hAnsi="Consolas"/>
                <w:color w:val="0070C0"/>
              </w:rPr>
              <w:t xml:space="preserve">Kwestia była podniesiona na jednym z posiedzeń ZG, kol. </w:t>
            </w:r>
            <w:r w:rsidR="007D03C2">
              <w:rPr>
                <w:rFonts w:ascii="Consolas" w:hAnsi="Consolas"/>
                <w:color w:val="0070C0"/>
              </w:rPr>
              <w:t xml:space="preserve">Tomasz </w:t>
            </w:r>
            <w:r w:rsidR="007D03C2">
              <w:rPr>
                <w:rFonts w:ascii="Consolas" w:hAnsi="Consolas"/>
                <w:color w:val="0070C0"/>
              </w:rPr>
              <w:t>Klasa miał przedstawić propozycję</w:t>
            </w:r>
            <w:r w:rsidR="007D03C2">
              <w:rPr>
                <w:rFonts w:ascii="Consolas" w:hAnsi="Consolas"/>
                <w:color w:val="0070C0"/>
              </w:rPr>
              <w:t>.</w:t>
            </w:r>
          </w:p>
        </w:tc>
      </w:tr>
      <w:tr w:rsidR="00A205CE" w:rsidRPr="008463ED" w14:paraId="64A6C770" w14:textId="77777777" w:rsidTr="00F73F21">
        <w:trPr>
          <w:cantSplit/>
        </w:trPr>
        <w:tc>
          <w:tcPr>
            <w:tcW w:w="1218" w:type="dxa"/>
          </w:tcPr>
          <w:p w14:paraId="71412FB1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6CCF86C5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Kontynuowanie i doskonalenie Biuletynu PTI.</w:t>
            </w:r>
          </w:p>
        </w:tc>
        <w:tc>
          <w:tcPr>
            <w:tcW w:w="6012" w:type="dxa"/>
          </w:tcPr>
          <w:p w14:paraId="70721BF0" w14:textId="77777777" w:rsidR="00A205CE" w:rsidRPr="008463ED" w:rsidRDefault="00355027" w:rsidP="00355027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Realizowane z sukcesem</w:t>
            </w:r>
          </w:p>
        </w:tc>
      </w:tr>
      <w:tr w:rsidR="00A205CE" w:rsidRPr="008463ED" w14:paraId="24E699C9" w14:textId="77777777" w:rsidTr="00F73F21">
        <w:trPr>
          <w:cantSplit/>
        </w:trPr>
        <w:tc>
          <w:tcPr>
            <w:tcW w:w="1218" w:type="dxa"/>
          </w:tcPr>
          <w:p w14:paraId="6D3DFA43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7DB6CFBA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Unowocześnienie i systematyczne doskonalenie portalu informacyjnego towarzystwa.</w:t>
            </w:r>
          </w:p>
        </w:tc>
        <w:tc>
          <w:tcPr>
            <w:tcW w:w="6012" w:type="dxa"/>
          </w:tcPr>
          <w:p w14:paraId="694C0848" w14:textId="77777777" w:rsidR="00A205CE" w:rsidRPr="008463ED" w:rsidRDefault="00355027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Realizowane z sukcesem</w:t>
            </w:r>
          </w:p>
        </w:tc>
      </w:tr>
      <w:tr w:rsidR="00A205CE" w:rsidRPr="008463ED" w14:paraId="456CEADD" w14:textId="77777777" w:rsidTr="00F73F21">
        <w:trPr>
          <w:cantSplit/>
        </w:trPr>
        <w:tc>
          <w:tcPr>
            <w:tcW w:w="1218" w:type="dxa"/>
          </w:tcPr>
          <w:p w14:paraId="3DA66F83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3510D6F9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Organizacja konkursów dla członków w zakresie istotnych zadań i prac szczególnie ważnych dla PTI z przyznawaniem wyróżnień i nagród.</w:t>
            </w:r>
          </w:p>
        </w:tc>
        <w:tc>
          <w:tcPr>
            <w:tcW w:w="6012" w:type="dxa"/>
          </w:tcPr>
          <w:p w14:paraId="6213D4E3" w14:textId="77777777" w:rsidR="00A205CE" w:rsidRPr="008463ED" w:rsidRDefault="00355027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Konkursy dla członków nie są organizowane.</w:t>
            </w:r>
          </w:p>
          <w:p w14:paraId="2DDAFEC7" w14:textId="77777777" w:rsidR="00355027" w:rsidRPr="008463ED" w:rsidRDefault="00355027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Nagrody i wyróżnienia są przyznawane, jak medal 70-lecia oraz odznaki PTI</w:t>
            </w:r>
            <w:r w:rsidR="0035664E" w:rsidRPr="008463ED">
              <w:rPr>
                <w:rFonts w:ascii="Consolas" w:hAnsi="Consolas"/>
              </w:rPr>
              <w:t>, choć są głosy o b. ograniczonym zakresie tych wyróżnień i zbytniej centralizacji</w:t>
            </w:r>
          </w:p>
        </w:tc>
      </w:tr>
      <w:tr w:rsidR="00A205CE" w:rsidRPr="008463ED" w14:paraId="26000FAA" w14:textId="77777777" w:rsidTr="00F73F21">
        <w:trPr>
          <w:cantSplit/>
        </w:trPr>
        <w:tc>
          <w:tcPr>
            <w:tcW w:w="1218" w:type="dxa"/>
          </w:tcPr>
          <w:p w14:paraId="7E7B0091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4FD1A42D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Przedsięwzięcia badawczo-naukowe, konferencje, seminaria i publikacje, w tym konkursy wydawnicze.</w:t>
            </w:r>
          </w:p>
        </w:tc>
        <w:tc>
          <w:tcPr>
            <w:tcW w:w="6012" w:type="dxa"/>
          </w:tcPr>
          <w:p w14:paraId="11D47E17" w14:textId="77777777" w:rsidR="00A205CE" w:rsidRDefault="0035664E" w:rsidP="003566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Głównie są organizowane konferencje. Jest konkurs Rady Naukowej na wybitną książkę informatyczną.</w:t>
            </w:r>
            <w:r w:rsidR="007D03C2">
              <w:rPr>
                <w:rFonts w:ascii="Consolas" w:hAnsi="Consolas"/>
              </w:rPr>
              <w:t xml:space="preserve"> </w:t>
            </w:r>
          </w:p>
          <w:p w14:paraId="38942299" w14:textId="2AFF6B3A" w:rsidR="007D03C2" w:rsidRPr="008463ED" w:rsidRDefault="007D03C2" w:rsidP="003566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  <w:color w:val="0070C0"/>
              </w:rPr>
              <w:t>Badania są realizowane w ramach Rady Sektorowej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A205CE" w:rsidRPr="008463ED" w14:paraId="147AA96C" w14:textId="77777777" w:rsidTr="00F73F21">
        <w:trPr>
          <w:cantSplit/>
        </w:trPr>
        <w:tc>
          <w:tcPr>
            <w:tcW w:w="1218" w:type="dxa"/>
          </w:tcPr>
          <w:p w14:paraId="6B65BC8E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38FF7E96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Stworzenie systemu dofinansowania uczestnictwa członków PTI w konferencjach i innych projektach organizowanych przez PTI.</w:t>
            </w:r>
          </w:p>
        </w:tc>
        <w:tc>
          <w:tcPr>
            <w:tcW w:w="6012" w:type="dxa"/>
          </w:tcPr>
          <w:p w14:paraId="3CA802A8" w14:textId="77777777" w:rsidR="00A205CE" w:rsidRPr="008463ED" w:rsidRDefault="00AD034D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A205CE" w:rsidRPr="008463ED" w14:paraId="14DE2B57" w14:textId="77777777" w:rsidTr="00F73F21">
        <w:trPr>
          <w:cantSplit/>
        </w:trPr>
        <w:tc>
          <w:tcPr>
            <w:tcW w:w="1218" w:type="dxa"/>
          </w:tcPr>
          <w:p w14:paraId="40C2452A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77E4272F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Organizacja wykładów otwartych i konferencji otwartych dla członków PTI oraz uczestników spoza PTI. </w:t>
            </w:r>
          </w:p>
        </w:tc>
        <w:tc>
          <w:tcPr>
            <w:tcW w:w="6012" w:type="dxa"/>
          </w:tcPr>
          <w:p w14:paraId="33FCAA3C" w14:textId="60E91DF2" w:rsidR="00A205CE" w:rsidRDefault="00AD034D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Są organizowane, najbardziej znane są tego typu przedsięwzięcia w ramach Klubu Informatyka O/</w:t>
            </w:r>
            <w:proofErr w:type="spellStart"/>
            <w:r w:rsidRPr="008463ED">
              <w:rPr>
                <w:rFonts w:ascii="Consolas" w:hAnsi="Consolas"/>
              </w:rPr>
              <w:t>Maz</w:t>
            </w:r>
            <w:proofErr w:type="spellEnd"/>
            <w:r w:rsidRPr="008463ED">
              <w:rPr>
                <w:rFonts w:ascii="Consolas" w:hAnsi="Consolas"/>
              </w:rPr>
              <w:t>.</w:t>
            </w:r>
          </w:p>
          <w:p w14:paraId="06C0287E" w14:textId="72357296" w:rsidR="007D03C2" w:rsidRPr="008463ED" w:rsidRDefault="007D03C2" w:rsidP="007D03C2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  <w:color w:val="0070C0"/>
              </w:rPr>
              <w:t xml:space="preserve">Kol. </w:t>
            </w:r>
            <w:r>
              <w:rPr>
                <w:rFonts w:ascii="Consolas" w:hAnsi="Consolas"/>
                <w:color w:val="0070C0"/>
              </w:rPr>
              <w:t xml:space="preserve">Marek </w:t>
            </w:r>
            <w:r>
              <w:rPr>
                <w:rFonts w:ascii="Consolas" w:hAnsi="Consolas"/>
                <w:color w:val="0070C0"/>
              </w:rPr>
              <w:t>Hołyński przygotował otwarty wykład na temat historii informatyki. Propozycja jego wykorzystania została skierowane do kilku uczelni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AD034D" w:rsidRPr="008463ED" w14:paraId="2D8D1952" w14:textId="77777777" w:rsidTr="00F73F21">
        <w:trPr>
          <w:cantSplit/>
        </w:trPr>
        <w:tc>
          <w:tcPr>
            <w:tcW w:w="1218" w:type="dxa"/>
          </w:tcPr>
          <w:p w14:paraId="2A31599C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42478792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Opracowanie kampanii promującej członkostwo dla środowiska nauki, biznesu i administracji. </w:t>
            </w:r>
          </w:p>
        </w:tc>
        <w:tc>
          <w:tcPr>
            <w:tcW w:w="6012" w:type="dxa"/>
          </w:tcPr>
          <w:p w14:paraId="4D28B3F8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AD034D" w:rsidRPr="008463ED" w14:paraId="45E1EBAB" w14:textId="77777777" w:rsidTr="00F73F21">
        <w:trPr>
          <w:cantSplit/>
        </w:trPr>
        <w:tc>
          <w:tcPr>
            <w:tcW w:w="1218" w:type="dxa"/>
          </w:tcPr>
          <w:p w14:paraId="19112BAB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42C50089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Opracowanie kampanii promocyjnej o PTI dla osób pretendujących do zawodu informatyka. </w:t>
            </w:r>
          </w:p>
        </w:tc>
        <w:tc>
          <w:tcPr>
            <w:tcW w:w="6012" w:type="dxa"/>
          </w:tcPr>
          <w:p w14:paraId="1AB25134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3E4BCB" w:rsidRPr="008463ED" w14:paraId="18BBA5EB" w14:textId="77777777" w:rsidTr="00F73F21">
        <w:trPr>
          <w:cantSplit/>
        </w:trPr>
        <w:tc>
          <w:tcPr>
            <w:tcW w:w="1218" w:type="dxa"/>
          </w:tcPr>
          <w:p w14:paraId="071AC64F" w14:textId="77777777" w:rsidR="003E4BCB" w:rsidRPr="008463ED" w:rsidRDefault="003E4BCB" w:rsidP="003E4BCB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2936673E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Promowanie nagród i wyróżnień przyznawanych przez PTI.</w:t>
            </w:r>
          </w:p>
        </w:tc>
        <w:tc>
          <w:tcPr>
            <w:tcW w:w="6012" w:type="dxa"/>
          </w:tcPr>
          <w:p w14:paraId="27238540" w14:textId="5D27CE52" w:rsidR="003E4BCB" w:rsidRPr="008463ED" w:rsidRDefault="007D03C2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Kwestia nie została podjęta, choć </w:t>
            </w:r>
            <w:r>
              <w:rPr>
                <w:rFonts w:ascii="Consolas" w:hAnsi="Consolas"/>
                <w:color w:val="0070C0"/>
              </w:rPr>
              <w:t>PTI przyznaje nagrodę w kategorii „poza horyzont” w konkursie odbywającym się z ramach Forum Młodych Mistrzów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AD034D" w:rsidRPr="008463ED" w14:paraId="16DB919B" w14:textId="77777777" w:rsidTr="00F73F21">
        <w:trPr>
          <w:cantSplit/>
        </w:trPr>
        <w:tc>
          <w:tcPr>
            <w:tcW w:w="1218" w:type="dxa"/>
          </w:tcPr>
          <w:p w14:paraId="71D8EEA7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2A48650B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Cykliczny, co najmniej coroczny, przegląd członkowskich jednostek organizacyjnych Towarzystwa.</w:t>
            </w:r>
          </w:p>
        </w:tc>
        <w:tc>
          <w:tcPr>
            <w:tcW w:w="6012" w:type="dxa"/>
          </w:tcPr>
          <w:p w14:paraId="365931E3" w14:textId="7DFBDAE8" w:rsidR="00AD034D" w:rsidRPr="008463ED" w:rsidRDefault="00C570BF" w:rsidP="00C570B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Kwestia w zasadzie nie została podjęta - o</w:t>
            </w:r>
            <w:r>
              <w:rPr>
                <w:rFonts w:ascii="Consolas" w:hAnsi="Consolas"/>
                <w:color w:val="0070C0"/>
              </w:rPr>
              <w:t>dbyło się</w:t>
            </w:r>
            <w:r>
              <w:rPr>
                <w:rFonts w:ascii="Consolas" w:hAnsi="Consolas"/>
                <w:color w:val="0070C0"/>
              </w:rPr>
              <w:t xml:space="preserve"> z inicjatywy prezesa PTI</w:t>
            </w:r>
            <w:r>
              <w:rPr>
                <w:rFonts w:ascii="Consolas" w:hAnsi="Consolas"/>
                <w:color w:val="0070C0"/>
              </w:rPr>
              <w:t xml:space="preserve"> jedno spotkanie </w:t>
            </w:r>
            <w:r>
              <w:rPr>
                <w:rFonts w:ascii="Consolas" w:hAnsi="Consolas"/>
                <w:color w:val="0070C0"/>
              </w:rPr>
              <w:t xml:space="preserve">z przewodniczącymi </w:t>
            </w:r>
            <w:r>
              <w:rPr>
                <w:rFonts w:ascii="Consolas" w:hAnsi="Consolas"/>
                <w:color w:val="0070C0"/>
              </w:rPr>
              <w:t>sekcji PTI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AD034D" w:rsidRPr="008463ED" w14:paraId="2AD70751" w14:textId="77777777" w:rsidTr="00F73F21">
        <w:trPr>
          <w:cantSplit/>
        </w:trPr>
        <w:tc>
          <w:tcPr>
            <w:tcW w:w="1218" w:type="dxa"/>
          </w:tcPr>
          <w:p w14:paraId="006DAD5F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0AA0C29F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Udział w komisjach i kapitułach nagród informatycznych. </w:t>
            </w:r>
          </w:p>
        </w:tc>
        <w:tc>
          <w:tcPr>
            <w:tcW w:w="6012" w:type="dxa"/>
          </w:tcPr>
          <w:p w14:paraId="54570E93" w14:textId="1EEF8B37" w:rsidR="00C570BF" w:rsidRPr="008463ED" w:rsidRDefault="00AD034D" w:rsidP="00C570B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Udział występuję, najbardziej znany jest udział w kapitule nagrody im. Lipskiego</w:t>
            </w:r>
            <w:r w:rsidR="00C570BF">
              <w:rPr>
                <w:rFonts w:ascii="Consolas" w:hAnsi="Consolas"/>
              </w:rPr>
              <w:t xml:space="preserve">, ponadto </w:t>
            </w:r>
            <w:r w:rsidR="00C570BF">
              <w:rPr>
                <w:rFonts w:ascii="Consolas" w:hAnsi="Consolas"/>
                <w:color w:val="0070C0"/>
              </w:rPr>
              <w:t>p</w:t>
            </w:r>
            <w:r w:rsidR="00C570BF">
              <w:rPr>
                <w:rFonts w:ascii="Consolas" w:hAnsi="Consolas"/>
                <w:color w:val="0070C0"/>
              </w:rPr>
              <w:t>rzedstawiciel PT</w:t>
            </w:r>
            <w:r w:rsidR="00C570BF">
              <w:rPr>
                <w:rFonts w:ascii="Consolas" w:hAnsi="Consolas"/>
                <w:color w:val="0070C0"/>
              </w:rPr>
              <w:t>I</w:t>
            </w:r>
            <w:r w:rsidR="00C570BF">
              <w:rPr>
                <w:rFonts w:ascii="Consolas" w:hAnsi="Consolas"/>
                <w:color w:val="0070C0"/>
              </w:rPr>
              <w:t xml:space="preserve"> jest w kapitule konkursu w ramach Forum Młodych Mistrzów</w:t>
            </w:r>
            <w:r w:rsidR="00C570BF">
              <w:rPr>
                <w:rFonts w:ascii="Consolas" w:hAnsi="Consolas"/>
                <w:color w:val="0070C0"/>
              </w:rPr>
              <w:t>.</w:t>
            </w:r>
          </w:p>
        </w:tc>
      </w:tr>
      <w:tr w:rsidR="00AD034D" w:rsidRPr="008463ED" w14:paraId="3A2C66DD" w14:textId="77777777" w:rsidTr="00F73F21">
        <w:trPr>
          <w:cantSplit/>
        </w:trPr>
        <w:tc>
          <w:tcPr>
            <w:tcW w:w="1218" w:type="dxa"/>
          </w:tcPr>
          <w:p w14:paraId="16406B6C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4065BC2A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Współpraca dziedzinowa z:</w:t>
            </w:r>
          </w:p>
        </w:tc>
        <w:tc>
          <w:tcPr>
            <w:tcW w:w="6012" w:type="dxa"/>
          </w:tcPr>
          <w:p w14:paraId="19F07E5D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</w:p>
        </w:tc>
      </w:tr>
      <w:tr w:rsidR="00AD034D" w:rsidRPr="008463ED" w14:paraId="3AB54797" w14:textId="77777777" w:rsidTr="00F73F21">
        <w:trPr>
          <w:cantSplit/>
        </w:trPr>
        <w:tc>
          <w:tcPr>
            <w:tcW w:w="1218" w:type="dxa"/>
          </w:tcPr>
          <w:p w14:paraId="54730526" w14:textId="77777777" w:rsidR="00AD034D" w:rsidRPr="008463ED" w:rsidRDefault="00AD034D" w:rsidP="00AD034D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 w:rsidRPr="008463ED">
              <w:rPr>
                <w:rFonts w:ascii="Consolas" w:hAnsi="Consolas" w:cs="Arial"/>
              </w:rPr>
              <w:t>K-I.13.1</w:t>
            </w:r>
          </w:p>
        </w:tc>
        <w:tc>
          <w:tcPr>
            <w:tcW w:w="6343" w:type="dxa"/>
          </w:tcPr>
          <w:p w14:paraId="5B996CFA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93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innymi organizacjami związanymi z informatyką, w tym IEEE, CEPIS, Fundacji ECDL, EUCIP,</w:t>
            </w:r>
          </w:p>
        </w:tc>
        <w:tc>
          <w:tcPr>
            <w:tcW w:w="6012" w:type="dxa"/>
          </w:tcPr>
          <w:p w14:paraId="27F69B6C" w14:textId="77777777" w:rsidR="00AD034D" w:rsidRPr="008463ED" w:rsidRDefault="003E4BCB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prowadzona.</w:t>
            </w:r>
          </w:p>
        </w:tc>
      </w:tr>
      <w:tr w:rsidR="003E4BCB" w:rsidRPr="008463ED" w14:paraId="2677C608" w14:textId="77777777" w:rsidTr="00F73F21">
        <w:trPr>
          <w:cantSplit/>
        </w:trPr>
        <w:tc>
          <w:tcPr>
            <w:tcW w:w="1218" w:type="dxa"/>
          </w:tcPr>
          <w:p w14:paraId="57883F06" w14:textId="77777777" w:rsidR="003E4BCB" w:rsidRPr="008463ED" w:rsidRDefault="003E4BCB" w:rsidP="003E4BCB">
            <w:pPr>
              <w:rPr>
                <w:rFonts w:ascii="Consolas" w:hAnsi="Consolas"/>
              </w:rPr>
            </w:pPr>
            <w:r w:rsidRPr="008463ED">
              <w:rPr>
                <w:rFonts w:ascii="Consolas" w:hAnsi="Consolas" w:cs="Arial"/>
              </w:rPr>
              <w:t>K-I.13.2</w:t>
            </w:r>
          </w:p>
        </w:tc>
        <w:tc>
          <w:tcPr>
            <w:tcW w:w="6343" w:type="dxa"/>
          </w:tcPr>
          <w:p w14:paraId="20E6BAD9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93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środowiskami informatycznymi, jak ruch wolnego i otwartego oprogramowania (</w:t>
            </w:r>
            <w:proofErr w:type="spellStart"/>
            <w:r w:rsidRPr="008463ED">
              <w:rPr>
                <w:rFonts w:ascii="Consolas" w:hAnsi="Consolas"/>
              </w:rPr>
              <w:t>WiOO</w:t>
            </w:r>
            <w:proofErr w:type="spellEnd"/>
            <w:r w:rsidRPr="008463ED">
              <w:rPr>
                <w:rFonts w:ascii="Consolas" w:hAnsi="Consolas"/>
              </w:rPr>
              <w:t>),</w:t>
            </w:r>
          </w:p>
        </w:tc>
        <w:tc>
          <w:tcPr>
            <w:tcW w:w="6012" w:type="dxa"/>
          </w:tcPr>
          <w:p w14:paraId="4E9ADF5D" w14:textId="4A212E4C" w:rsidR="003E4BCB" w:rsidRPr="008463ED" w:rsidRDefault="00C570BF" w:rsidP="00C570B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Kwestia nie została podjęta, choć </w:t>
            </w:r>
            <w:r>
              <w:rPr>
                <w:rFonts w:ascii="Consolas" w:hAnsi="Consolas"/>
                <w:color w:val="0070C0"/>
              </w:rPr>
              <w:t>b</w:t>
            </w:r>
            <w:r>
              <w:rPr>
                <w:rFonts w:ascii="Consolas" w:hAnsi="Consolas"/>
                <w:color w:val="0070C0"/>
              </w:rPr>
              <w:t>yły podejmowane próby trwalszej współpracy z grupą CIONET</w:t>
            </w:r>
            <w:r w:rsidR="002940AC">
              <w:rPr>
                <w:rFonts w:ascii="Consolas" w:hAnsi="Consolas"/>
                <w:color w:val="0070C0"/>
              </w:rPr>
              <w:t>.</w:t>
            </w:r>
          </w:p>
        </w:tc>
      </w:tr>
      <w:tr w:rsidR="003E4BCB" w:rsidRPr="008463ED" w14:paraId="1C85E54D" w14:textId="77777777" w:rsidTr="00F73F21">
        <w:trPr>
          <w:cantSplit/>
          <w:trHeight w:val="904"/>
        </w:trPr>
        <w:tc>
          <w:tcPr>
            <w:tcW w:w="1218" w:type="dxa"/>
          </w:tcPr>
          <w:p w14:paraId="5BF4F32D" w14:textId="77777777" w:rsidR="003E4BCB" w:rsidRPr="008463ED" w:rsidRDefault="003E4BCB" w:rsidP="003E4BCB">
            <w:pPr>
              <w:rPr>
                <w:rFonts w:ascii="Consolas" w:hAnsi="Consolas"/>
              </w:rPr>
            </w:pPr>
            <w:r w:rsidRPr="008463ED">
              <w:rPr>
                <w:rFonts w:ascii="Consolas" w:hAnsi="Consolas" w:cs="Arial"/>
              </w:rPr>
              <w:t>K-I.13.3</w:t>
            </w:r>
          </w:p>
        </w:tc>
        <w:tc>
          <w:tcPr>
            <w:tcW w:w="6343" w:type="dxa"/>
          </w:tcPr>
          <w:p w14:paraId="5F21F01E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93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organami administracji publicznej.</w:t>
            </w:r>
          </w:p>
        </w:tc>
        <w:tc>
          <w:tcPr>
            <w:tcW w:w="6012" w:type="dxa"/>
          </w:tcPr>
          <w:p w14:paraId="43C5F647" w14:textId="222D8D7E" w:rsidR="008463ED" w:rsidRPr="008463ED" w:rsidRDefault="003E4BCB" w:rsidP="002940AC">
            <w:pPr>
              <w:pStyle w:val="Tekstkomentarza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Występuje, np. przy tworzeniu opinii czy ekspertyzach</w:t>
            </w:r>
            <w:r w:rsidR="00645A70" w:rsidRPr="008463ED">
              <w:rPr>
                <w:rFonts w:ascii="Consolas" w:hAnsi="Consolas"/>
              </w:rPr>
              <w:t xml:space="preserve">. Udział w grupach roboczych, </w:t>
            </w:r>
            <w:r w:rsidR="002940AC">
              <w:rPr>
                <w:rFonts w:ascii="Consolas" w:hAnsi="Consolas"/>
                <w:color w:val="0070C0"/>
              </w:rPr>
              <w:t xml:space="preserve">np. ds. </w:t>
            </w:r>
            <w:proofErr w:type="spellStart"/>
            <w:r w:rsidR="002940AC">
              <w:rPr>
                <w:rFonts w:ascii="Consolas" w:hAnsi="Consolas"/>
                <w:color w:val="0070C0"/>
              </w:rPr>
              <w:t>cyberbezpieczeństwa</w:t>
            </w:r>
            <w:proofErr w:type="spellEnd"/>
            <w:r w:rsidR="002940AC">
              <w:rPr>
                <w:rFonts w:ascii="Consolas" w:hAnsi="Consolas"/>
                <w:color w:val="0070C0"/>
              </w:rPr>
              <w:t>, kompetencji cyfrowych, sztucznej inteligencji oraz</w:t>
            </w:r>
            <w:r w:rsidR="002940AC" w:rsidRPr="008463ED">
              <w:rPr>
                <w:rFonts w:ascii="Consolas" w:hAnsi="Consolas"/>
              </w:rPr>
              <w:t xml:space="preserve"> </w:t>
            </w:r>
            <w:r w:rsidR="00645A70" w:rsidRPr="008463ED">
              <w:rPr>
                <w:rFonts w:ascii="Consolas" w:hAnsi="Consolas"/>
              </w:rPr>
              <w:t>konsultacjach np. związanych z przygotowywaniem konkursów w ramach programów UE w MC</w:t>
            </w:r>
            <w:r w:rsidR="002940AC">
              <w:rPr>
                <w:rFonts w:ascii="Consolas" w:hAnsi="Consolas"/>
              </w:rPr>
              <w:t xml:space="preserve">. </w:t>
            </w:r>
            <w:r w:rsidR="002940AC">
              <w:rPr>
                <w:rFonts w:ascii="Consolas" w:hAnsi="Consolas"/>
                <w:color w:val="0070C0"/>
              </w:rPr>
              <w:t>Przedstawiciele PTI są członkami Rady ds. Informatyzacji Edukacji przy MEN (</w:t>
            </w:r>
            <w:proofErr w:type="spellStart"/>
            <w:r w:rsidR="002940AC">
              <w:rPr>
                <w:rFonts w:ascii="Consolas" w:hAnsi="Consolas"/>
                <w:color w:val="0070C0"/>
              </w:rPr>
              <w:t>kol.kol</w:t>
            </w:r>
            <w:proofErr w:type="spellEnd"/>
            <w:r w:rsidR="002940AC">
              <w:rPr>
                <w:rFonts w:ascii="Consolas" w:hAnsi="Consolas"/>
                <w:color w:val="0070C0"/>
              </w:rPr>
              <w:t xml:space="preserve">. </w:t>
            </w:r>
            <w:r w:rsidR="002940AC">
              <w:rPr>
                <w:rFonts w:ascii="Consolas" w:hAnsi="Consolas"/>
                <w:color w:val="0070C0"/>
              </w:rPr>
              <w:t>A</w:t>
            </w:r>
            <w:r w:rsidR="002940AC">
              <w:rPr>
                <w:rFonts w:ascii="Consolas" w:hAnsi="Consolas"/>
                <w:color w:val="0070C0"/>
              </w:rPr>
              <w:t xml:space="preserve">nna Beata </w:t>
            </w:r>
            <w:r w:rsidR="002940AC">
              <w:rPr>
                <w:rFonts w:ascii="Consolas" w:hAnsi="Consolas"/>
                <w:color w:val="0070C0"/>
              </w:rPr>
              <w:t>Kwiatkowska, J</w:t>
            </w:r>
            <w:r w:rsidR="002940AC">
              <w:rPr>
                <w:rFonts w:ascii="Consolas" w:hAnsi="Consolas"/>
                <w:color w:val="0070C0"/>
              </w:rPr>
              <w:t>an</w:t>
            </w:r>
            <w:r w:rsidR="002940AC">
              <w:rPr>
                <w:rFonts w:ascii="Consolas" w:hAnsi="Consolas"/>
                <w:color w:val="0070C0"/>
              </w:rPr>
              <w:t xml:space="preserve"> </w:t>
            </w:r>
            <w:proofErr w:type="spellStart"/>
            <w:r w:rsidR="002940AC">
              <w:rPr>
                <w:rFonts w:ascii="Consolas" w:hAnsi="Consolas"/>
                <w:color w:val="0070C0"/>
              </w:rPr>
              <w:t>Madey</w:t>
            </w:r>
            <w:proofErr w:type="spellEnd"/>
            <w:r w:rsidR="002940AC">
              <w:rPr>
                <w:rFonts w:ascii="Consolas" w:hAnsi="Consolas"/>
                <w:color w:val="0070C0"/>
              </w:rPr>
              <w:t>)</w:t>
            </w:r>
            <w:r w:rsidR="002940AC">
              <w:rPr>
                <w:rFonts w:ascii="Consolas" w:hAnsi="Consolas"/>
                <w:color w:val="0070C0"/>
              </w:rPr>
              <w:t>.</w:t>
            </w:r>
          </w:p>
        </w:tc>
      </w:tr>
      <w:tr w:rsidR="003E4BCB" w:rsidRPr="008463ED" w14:paraId="1147528F" w14:textId="77777777" w:rsidTr="00F73F21">
        <w:trPr>
          <w:cantSplit/>
        </w:trPr>
        <w:tc>
          <w:tcPr>
            <w:tcW w:w="1218" w:type="dxa"/>
          </w:tcPr>
          <w:p w14:paraId="57BA76D7" w14:textId="77777777" w:rsidR="003E4BCB" w:rsidRPr="008463ED" w:rsidRDefault="003E4BCB" w:rsidP="003E4BCB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276DF4F7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Podjęcie aktywnej współpracy z organizacjami pozarządowymi na rzecz wspólnego budowania społeczeństwa informacyjnego. </w:t>
            </w:r>
          </w:p>
        </w:tc>
        <w:tc>
          <w:tcPr>
            <w:tcW w:w="6012" w:type="dxa"/>
          </w:tcPr>
          <w:p w14:paraId="405B7FEC" w14:textId="30D0076D" w:rsidR="002940AC" w:rsidRPr="008463ED" w:rsidRDefault="003E4BCB" w:rsidP="00A11F9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Występuje z różnym nasileniem, np. przy okazji ŚDSI</w:t>
            </w:r>
            <w:r w:rsidR="00A11F90">
              <w:rPr>
                <w:rFonts w:ascii="Consolas" w:hAnsi="Consolas"/>
              </w:rPr>
              <w:t xml:space="preserve">, jak też </w:t>
            </w:r>
            <w:r w:rsidR="002940AC">
              <w:rPr>
                <w:rFonts w:ascii="Consolas" w:hAnsi="Consolas"/>
                <w:color w:val="0070C0"/>
              </w:rPr>
              <w:t xml:space="preserve">przez prowadzony </w:t>
            </w:r>
            <w:r w:rsidR="00A11F90">
              <w:rPr>
                <w:rFonts w:ascii="Consolas" w:hAnsi="Consolas"/>
                <w:color w:val="0070C0"/>
              </w:rPr>
              <w:t xml:space="preserve">w ramach </w:t>
            </w:r>
            <w:r w:rsidR="002940AC">
              <w:rPr>
                <w:rFonts w:ascii="Consolas" w:hAnsi="Consolas"/>
                <w:color w:val="0070C0"/>
              </w:rPr>
              <w:t>PTI sekretariat SPRUC oraz udzielanie wsparcia dla wyłanianie Listy 100 osób o wyjątkowym wkładzie dla rozwoju SI w Polsce</w:t>
            </w:r>
            <w:r w:rsidR="00A11F90">
              <w:rPr>
                <w:rFonts w:ascii="Consolas" w:hAnsi="Consolas"/>
                <w:color w:val="0070C0"/>
              </w:rPr>
              <w:t>.</w:t>
            </w:r>
          </w:p>
        </w:tc>
      </w:tr>
      <w:tr w:rsidR="003E4BCB" w:rsidRPr="008463ED" w14:paraId="0FB2210C" w14:textId="77777777" w:rsidTr="00F73F21">
        <w:trPr>
          <w:cantSplit/>
        </w:trPr>
        <w:tc>
          <w:tcPr>
            <w:tcW w:w="1218" w:type="dxa"/>
          </w:tcPr>
          <w:p w14:paraId="7836F8E9" w14:textId="77777777" w:rsidR="003E4BCB" w:rsidRPr="008463ED" w:rsidRDefault="003E4BCB" w:rsidP="003E4BCB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6FF7EEFD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Popularyzacja polskiej informatyki na forum międzynarodowym.</w:t>
            </w:r>
          </w:p>
        </w:tc>
        <w:tc>
          <w:tcPr>
            <w:tcW w:w="6012" w:type="dxa"/>
          </w:tcPr>
          <w:p w14:paraId="159852EE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Ostatnio działania taki podjęto w związku z konkursem </w:t>
            </w:r>
            <w:r w:rsidR="009044E4" w:rsidRPr="008463ED">
              <w:rPr>
                <w:rFonts w:ascii="Consolas" w:hAnsi="Consolas"/>
              </w:rPr>
              <w:t>MSZ „</w:t>
            </w:r>
            <w:proofErr w:type="spellStart"/>
            <w:r w:rsidR="009044E4" w:rsidRPr="008463ED">
              <w:rPr>
                <w:rFonts w:ascii="Consolas" w:hAnsi="Consolas"/>
              </w:rPr>
              <w:t>PoLAND</w:t>
            </w:r>
            <w:proofErr w:type="spellEnd"/>
            <w:r w:rsidR="009044E4" w:rsidRPr="008463ED">
              <w:rPr>
                <w:rFonts w:ascii="Consolas" w:hAnsi="Consolas"/>
              </w:rPr>
              <w:t xml:space="preserve"> of IT </w:t>
            </w:r>
            <w:proofErr w:type="spellStart"/>
            <w:r w:rsidR="009044E4" w:rsidRPr="008463ED">
              <w:rPr>
                <w:rFonts w:ascii="Consolas" w:hAnsi="Consolas"/>
              </w:rPr>
              <w:t>masters</w:t>
            </w:r>
            <w:proofErr w:type="spellEnd"/>
            <w:r w:rsidR="009044E4" w:rsidRPr="008463ED">
              <w:rPr>
                <w:rFonts w:ascii="Consolas" w:hAnsi="Consolas"/>
              </w:rPr>
              <w:t>”</w:t>
            </w:r>
          </w:p>
        </w:tc>
      </w:tr>
    </w:tbl>
    <w:p w14:paraId="3FAA7FC2" w14:textId="1B7469DF" w:rsidR="00072B78" w:rsidRDefault="00072B78" w:rsidP="009863A7">
      <w:pPr>
        <w:widowControl/>
        <w:tabs>
          <w:tab w:val="left" w:pos="1809"/>
        </w:tabs>
        <w:autoSpaceDE/>
        <w:autoSpaceDN/>
        <w:adjustRightInd/>
        <w:spacing w:after="60"/>
        <w:ind w:left="174"/>
        <w:rPr>
          <w:rFonts w:ascii="Consolas" w:hAnsi="Consolas" w:cs="Arial"/>
        </w:rPr>
      </w:pPr>
    </w:p>
    <w:p w14:paraId="5C0E3EEA" w14:textId="77777777" w:rsidR="00783D76" w:rsidRPr="008463ED" w:rsidRDefault="00783D76" w:rsidP="009863A7">
      <w:pPr>
        <w:widowControl/>
        <w:tabs>
          <w:tab w:val="left" w:pos="1809"/>
        </w:tabs>
        <w:autoSpaceDE/>
        <w:autoSpaceDN/>
        <w:adjustRightInd/>
        <w:spacing w:after="60"/>
        <w:ind w:left="174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34"/>
        <w:gridCol w:w="6337"/>
        <w:gridCol w:w="6102"/>
      </w:tblGrid>
      <w:tr w:rsidR="009044E4" w:rsidRPr="008463ED" w14:paraId="4AFF22CD" w14:textId="77777777" w:rsidTr="00AE5E07">
        <w:trPr>
          <w:cantSplit/>
        </w:trPr>
        <w:tc>
          <w:tcPr>
            <w:tcW w:w="1134" w:type="dxa"/>
          </w:tcPr>
          <w:p w14:paraId="0AF40A60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4F3EB0A2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„Nauka – badania, rozwój, kształcenie, wiedza”</w:t>
            </w:r>
          </w:p>
        </w:tc>
        <w:tc>
          <w:tcPr>
            <w:tcW w:w="6102" w:type="dxa"/>
          </w:tcPr>
          <w:p w14:paraId="330B13B0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9044E4" w:rsidRPr="008463ED" w14:paraId="5824D920" w14:textId="77777777" w:rsidTr="00AE5E07">
        <w:trPr>
          <w:cantSplit/>
        </w:trPr>
        <w:tc>
          <w:tcPr>
            <w:tcW w:w="1134" w:type="dxa"/>
          </w:tcPr>
          <w:p w14:paraId="38E6E079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0C3E5F2C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Współpraca dziedzinowa z uczelniami wyższymi i instytucjami naukowymi oraz badawczymi.</w:t>
            </w:r>
          </w:p>
        </w:tc>
        <w:tc>
          <w:tcPr>
            <w:tcW w:w="6102" w:type="dxa"/>
          </w:tcPr>
          <w:p w14:paraId="4FD5CCF6" w14:textId="5AEA8367" w:rsidR="009044E4" w:rsidRPr="008463ED" w:rsidRDefault="009044E4" w:rsidP="00A11F9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Podejmowana, np. przy organizowaniu konferencji (KKIO, </w:t>
            </w:r>
            <w:proofErr w:type="spellStart"/>
            <w:r w:rsidRPr="008463ED">
              <w:rPr>
                <w:rFonts w:ascii="Consolas" w:hAnsi="Consolas"/>
              </w:rPr>
              <w:t>FedCSIS</w:t>
            </w:r>
            <w:proofErr w:type="spellEnd"/>
            <w:r w:rsidRPr="008463ED">
              <w:rPr>
                <w:rFonts w:ascii="Consolas" w:hAnsi="Consolas"/>
              </w:rPr>
              <w:t xml:space="preserve">, </w:t>
            </w:r>
            <w:proofErr w:type="spellStart"/>
            <w:r w:rsidRPr="008463ED">
              <w:rPr>
                <w:rFonts w:ascii="Consolas" w:hAnsi="Consolas"/>
              </w:rPr>
              <w:t>IwE</w:t>
            </w:r>
            <w:proofErr w:type="spellEnd"/>
            <w:r w:rsidR="00196A22" w:rsidRPr="008463ED">
              <w:rPr>
                <w:rFonts w:ascii="Consolas" w:hAnsi="Consolas"/>
              </w:rPr>
              <w:t>, TERW), zleceń Rady Sektorowej</w:t>
            </w:r>
            <w:r w:rsidR="00A11F90">
              <w:rPr>
                <w:rFonts w:ascii="Consolas" w:hAnsi="Consolas"/>
              </w:rPr>
              <w:t xml:space="preserve">, </w:t>
            </w:r>
            <w:proofErr w:type="spellStart"/>
            <w:r w:rsidR="00A11F90">
              <w:rPr>
                <w:rFonts w:ascii="Consolas" w:hAnsi="Consolas"/>
                <w:color w:val="0070C0"/>
              </w:rPr>
              <w:t>P</w:t>
            </w:r>
            <w:r w:rsidR="00A11F90">
              <w:rPr>
                <w:rFonts w:ascii="Consolas" w:hAnsi="Consolas"/>
                <w:color w:val="0070C0"/>
              </w:rPr>
              <w:t>p</w:t>
            </w:r>
            <w:r w:rsidR="00A11F90">
              <w:rPr>
                <w:rFonts w:ascii="Consolas" w:hAnsi="Consolas"/>
                <w:color w:val="0070C0"/>
              </w:rPr>
              <w:t>dpisan</w:t>
            </w:r>
            <w:r w:rsidR="00A11F90">
              <w:rPr>
                <w:rFonts w:ascii="Consolas" w:hAnsi="Consolas"/>
                <w:color w:val="0070C0"/>
              </w:rPr>
              <w:t>o</w:t>
            </w:r>
            <w:proofErr w:type="spellEnd"/>
            <w:r w:rsidR="00A11F90">
              <w:rPr>
                <w:rFonts w:ascii="Consolas" w:hAnsi="Consolas"/>
                <w:color w:val="0070C0"/>
              </w:rPr>
              <w:t xml:space="preserve"> porozumienia o współpracy z UKSW oraz NASK</w:t>
            </w:r>
            <w:r w:rsidR="00A11F90">
              <w:rPr>
                <w:rFonts w:ascii="Consolas" w:hAnsi="Consolas"/>
                <w:color w:val="0070C0"/>
              </w:rPr>
              <w:t>.</w:t>
            </w:r>
          </w:p>
        </w:tc>
      </w:tr>
      <w:tr w:rsidR="009044E4" w:rsidRPr="008463ED" w14:paraId="5D230EAE" w14:textId="77777777" w:rsidTr="00AE5E07">
        <w:trPr>
          <w:cantSplit/>
        </w:trPr>
        <w:tc>
          <w:tcPr>
            <w:tcW w:w="1134" w:type="dxa"/>
          </w:tcPr>
          <w:p w14:paraId="18AA7FB6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5FF22FD9" w14:textId="6D39905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Opiniowanie programów nauczania na poziomie ciał stanowiących na uczelniach na poziomie Polskiej Komisji Akredytacyjnej</w:t>
            </w:r>
            <w:r w:rsidR="00645A70" w:rsidRPr="008463ED">
              <w:rPr>
                <w:rFonts w:ascii="Consolas" w:hAnsi="Consolas"/>
              </w:rPr>
              <w:t xml:space="preserve"> i na poziomie szkolnictwa zawodowego</w:t>
            </w:r>
          </w:p>
        </w:tc>
        <w:tc>
          <w:tcPr>
            <w:tcW w:w="6102" w:type="dxa"/>
          </w:tcPr>
          <w:p w14:paraId="692283A7" w14:textId="77777777" w:rsidR="00645A70" w:rsidRPr="008463ED" w:rsidRDefault="00196A22" w:rsidP="00645A70">
            <w:pPr>
              <w:pStyle w:val="Tekstkomentarza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Praktycznie nie podejmowane, Rada Sektorowa zaopiniowana otwarcie studiów magisterskich na UKW</w:t>
            </w:r>
            <w:r w:rsidR="00645A70" w:rsidRPr="008463ED">
              <w:rPr>
                <w:rFonts w:ascii="Consolas" w:hAnsi="Consolas"/>
              </w:rPr>
              <w:t>. Opiniowanie podstaw programowych np. technik informatyk dla MEN</w:t>
            </w:r>
          </w:p>
          <w:p w14:paraId="6C21861E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</w:p>
        </w:tc>
      </w:tr>
      <w:tr w:rsidR="009044E4" w:rsidRPr="008463ED" w14:paraId="71A85750" w14:textId="77777777" w:rsidTr="00AE5E07">
        <w:trPr>
          <w:cantSplit/>
          <w:trHeight w:val="837"/>
        </w:trPr>
        <w:tc>
          <w:tcPr>
            <w:tcW w:w="1134" w:type="dxa"/>
          </w:tcPr>
          <w:p w14:paraId="24F704B3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337C188D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Aktywne funkcjonowanie Rady Naukowej PTI, będącej łącznikiem pomiędzy środowiskami PTI i nauk informatycznych.</w:t>
            </w:r>
          </w:p>
        </w:tc>
        <w:tc>
          <w:tcPr>
            <w:tcW w:w="6102" w:type="dxa"/>
          </w:tcPr>
          <w:p w14:paraId="3AC6A4AD" w14:textId="77777777" w:rsidR="009044E4" w:rsidRPr="008463ED" w:rsidRDefault="00196A22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Rada Naukowa funkcjonuje, m.in. jest przeprowadzany konkurs na wybitną książkę informatyczną</w:t>
            </w:r>
          </w:p>
        </w:tc>
      </w:tr>
      <w:tr w:rsidR="003858F8" w:rsidRPr="008463ED" w14:paraId="55C3B76E" w14:textId="77777777" w:rsidTr="00AE5E07">
        <w:trPr>
          <w:cantSplit/>
        </w:trPr>
        <w:tc>
          <w:tcPr>
            <w:tcW w:w="1134" w:type="dxa"/>
          </w:tcPr>
          <w:p w14:paraId="622A896D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14E7140F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Aktywna praca przy tworzeniu podstawy programowej dla przedmiotów informatycznych. </w:t>
            </w:r>
          </w:p>
        </w:tc>
        <w:tc>
          <w:tcPr>
            <w:tcW w:w="6102" w:type="dxa"/>
          </w:tcPr>
          <w:p w14:paraId="7FF947C8" w14:textId="449B1093" w:rsidR="00645A70" w:rsidRPr="008463ED" w:rsidRDefault="00645A70" w:rsidP="00645A70">
            <w:pPr>
              <w:pStyle w:val="Tekstkomentarza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Opiniowanie podstaw programowych</w:t>
            </w:r>
            <w:r w:rsidR="001A0DF9">
              <w:rPr>
                <w:rFonts w:ascii="Consolas" w:hAnsi="Consolas"/>
              </w:rPr>
              <w:t>,</w:t>
            </w:r>
            <w:r w:rsidRPr="008463ED">
              <w:rPr>
                <w:rFonts w:ascii="Consolas" w:hAnsi="Consolas"/>
              </w:rPr>
              <w:t xml:space="preserve"> np. technik informatyk dla MEN</w:t>
            </w:r>
          </w:p>
          <w:p w14:paraId="1943B6AD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</w:p>
        </w:tc>
      </w:tr>
      <w:tr w:rsidR="003858F8" w:rsidRPr="008463ED" w14:paraId="40C8AF83" w14:textId="77777777" w:rsidTr="00AE5E07">
        <w:trPr>
          <w:cantSplit/>
        </w:trPr>
        <w:tc>
          <w:tcPr>
            <w:tcW w:w="1134" w:type="dxa"/>
          </w:tcPr>
          <w:p w14:paraId="5060D3B9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2DA7351A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Rozszerzenie współpracy z KI PAN i </w:t>
            </w:r>
            <w:proofErr w:type="spellStart"/>
            <w:r w:rsidRPr="008463ED">
              <w:rPr>
                <w:rFonts w:ascii="Consolas" w:hAnsi="Consolas"/>
              </w:rPr>
              <w:t>i</w:t>
            </w:r>
            <w:proofErr w:type="spellEnd"/>
            <w:r w:rsidRPr="008463ED">
              <w:rPr>
                <w:rFonts w:ascii="Consolas" w:hAnsi="Consolas"/>
              </w:rPr>
              <w:t xml:space="preserve"> innymi placówkami naukowymi, w tym IPI PAN, IHN PAN.</w:t>
            </w:r>
          </w:p>
        </w:tc>
        <w:tc>
          <w:tcPr>
            <w:tcW w:w="6102" w:type="dxa"/>
          </w:tcPr>
          <w:p w14:paraId="02ACF892" w14:textId="27E1E556" w:rsidR="00A11F90" w:rsidRPr="008463ED" w:rsidRDefault="003858F8" w:rsidP="00A11F9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 zasadzie kwestia nie została podjęta, poza delegowanie</w:t>
            </w:r>
            <w:r w:rsidR="00A11F90">
              <w:rPr>
                <w:rFonts w:ascii="Consolas" w:hAnsi="Consolas"/>
              </w:rPr>
              <w:t>m</w:t>
            </w:r>
            <w:r w:rsidRPr="008463ED">
              <w:rPr>
                <w:rFonts w:ascii="Consolas" w:hAnsi="Consolas"/>
              </w:rPr>
              <w:t xml:space="preserve"> przedstawiciela PTI do KI PAN</w:t>
            </w:r>
            <w:r w:rsidR="00AC62D6" w:rsidRPr="008463ED">
              <w:rPr>
                <w:rFonts w:ascii="Consolas" w:hAnsi="Consolas"/>
              </w:rPr>
              <w:t xml:space="preserve"> oraz do rady i komitetu PKN</w:t>
            </w:r>
            <w:r w:rsidR="00A11F90">
              <w:rPr>
                <w:rFonts w:ascii="Consolas" w:hAnsi="Consolas"/>
              </w:rPr>
              <w:t xml:space="preserve"> oraz tym, że </w:t>
            </w:r>
            <w:r w:rsidR="00A11F90">
              <w:rPr>
                <w:rFonts w:ascii="Consolas" w:hAnsi="Consolas"/>
                <w:color w:val="0070C0"/>
              </w:rPr>
              <w:t>p</w:t>
            </w:r>
            <w:r w:rsidR="00A11F90">
              <w:rPr>
                <w:rFonts w:ascii="Consolas" w:hAnsi="Consolas"/>
                <w:color w:val="0070C0"/>
              </w:rPr>
              <w:t>rzedstawiciele KI PAN są zapraszanie i uczestniczą w wydarzeniach związanych z SDSI</w:t>
            </w:r>
            <w:r w:rsidR="00A11F90">
              <w:rPr>
                <w:rFonts w:ascii="Consolas" w:hAnsi="Consolas"/>
                <w:color w:val="0070C0"/>
              </w:rPr>
              <w:t>.</w:t>
            </w:r>
          </w:p>
        </w:tc>
      </w:tr>
      <w:tr w:rsidR="003858F8" w:rsidRPr="008463ED" w14:paraId="3BA4E5A8" w14:textId="77777777" w:rsidTr="00AE5E07">
        <w:trPr>
          <w:cantSplit/>
        </w:trPr>
        <w:tc>
          <w:tcPr>
            <w:tcW w:w="1134" w:type="dxa"/>
          </w:tcPr>
          <w:p w14:paraId="6E021074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603E1724" w14:textId="77777777" w:rsidR="003858F8" w:rsidRPr="00C44669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 xml:space="preserve">Opracowanie zasad akredytacji nauczania przedmiotów informatycznych na różnych poziomach edukacji. </w:t>
            </w:r>
          </w:p>
        </w:tc>
        <w:tc>
          <w:tcPr>
            <w:tcW w:w="6102" w:type="dxa"/>
          </w:tcPr>
          <w:p w14:paraId="490ABA96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C44669" w:rsidRPr="008463ED" w14:paraId="1709071A" w14:textId="77777777" w:rsidTr="00AE5E07">
        <w:trPr>
          <w:cantSplit/>
        </w:trPr>
        <w:tc>
          <w:tcPr>
            <w:tcW w:w="1134" w:type="dxa"/>
          </w:tcPr>
          <w:p w14:paraId="0FE23D32" w14:textId="77777777" w:rsidR="00C44669" w:rsidRPr="008463ED" w:rsidRDefault="00C44669" w:rsidP="00C44669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75524EB9" w14:textId="2459C7DD" w:rsidR="00C44669" w:rsidRPr="00C44669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>Inicjowanie, wspieranie i promowanie badań i prac wdrożeniowych dotyczących narzędzi i technologii informatycznych oraz usług, pozwalających na rozszerzanie zakresu zastosowania TIK w życiu codziennym i poprawę praktycznych korzyści, odnoszonych przez wszystkich obywateli.</w:t>
            </w:r>
          </w:p>
        </w:tc>
        <w:tc>
          <w:tcPr>
            <w:tcW w:w="6102" w:type="dxa"/>
          </w:tcPr>
          <w:p w14:paraId="71A30BCF" w14:textId="2787550E" w:rsidR="00C44669" w:rsidRPr="008463ED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C44669" w:rsidRPr="008463ED" w14:paraId="4F52140D" w14:textId="77777777" w:rsidTr="00AE5E07">
        <w:trPr>
          <w:cantSplit/>
        </w:trPr>
        <w:tc>
          <w:tcPr>
            <w:tcW w:w="1134" w:type="dxa"/>
          </w:tcPr>
          <w:p w14:paraId="312113DA" w14:textId="77777777" w:rsidR="00C44669" w:rsidRPr="008463ED" w:rsidRDefault="00C44669" w:rsidP="00C44669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5D0370C1" w14:textId="2355400E" w:rsidR="00C44669" w:rsidRPr="00C44669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>Budowa Biblioteki Cyfrowej PTI z udostepnieniem w pierwszej kolejności Biuletynu PTI, Pro Dialogu i archiwalnych materiałów konferencyjnych.</w:t>
            </w:r>
          </w:p>
        </w:tc>
        <w:tc>
          <w:tcPr>
            <w:tcW w:w="6102" w:type="dxa"/>
          </w:tcPr>
          <w:p w14:paraId="68097ECB" w14:textId="196B80E8" w:rsidR="00C44669" w:rsidRPr="008463ED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W tym kształcie kwestia nie została podjęta, w pewnym zakresie </w:t>
            </w:r>
            <w:r w:rsidR="000C3218">
              <w:rPr>
                <w:rFonts w:ascii="Consolas" w:hAnsi="Consolas"/>
              </w:rPr>
              <w:t>jest to realizowanie przez portal sekcji Klio</w:t>
            </w:r>
          </w:p>
        </w:tc>
      </w:tr>
      <w:tr w:rsidR="00C44669" w:rsidRPr="008463ED" w14:paraId="32B1CDD8" w14:textId="77777777" w:rsidTr="00AE5E07">
        <w:trPr>
          <w:cantSplit/>
        </w:trPr>
        <w:tc>
          <w:tcPr>
            <w:tcW w:w="1134" w:type="dxa"/>
          </w:tcPr>
          <w:p w14:paraId="33DB1B0E" w14:textId="77777777" w:rsidR="00C44669" w:rsidRPr="008463ED" w:rsidRDefault="00C44669" w:rsidP="00C44669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77A9A8BF" w14:textId="1887199A" w:rsidR="00C44669" w:rsidRPr="00C44669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>Utworzenie Biura Historii Informatyki.</w:t>
            </w:r>
          </w:p>
        </w:tc>
        <w:tc>
          <w:tcPr>
            <w:tcW w:w="6102" w:type="dxa"/>
          </w:tcPr>
          <w:p w14:paraId="42BB9E39" w14:textId="0DDB280F" w:rsidR="00C44669" w:rsidRPr="008463ED" w:rsidRDefault="000C3218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C44669" w:rsidRPr="008463ED" w14:paraId="77D6F9CF" w14:textId="77777777" w:rsidTr="00AE5E07">
        <w:trPr>
          <w:cantSplit/>
        </w:trPr>
        <w:tc>
          <w:tcPr>
            <w:tcW w:w="1134" w:type="dxa"/>
          </w:tcPr>
          <w:p w14:paraId="4B79CC9E" w14:textId="77777777" w:rsidR="00C44669" w:rsidRPr="008463ED" w:rsidRDefault="00C44669" w:rsidP="00C44669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1AAB9BAC" w14:textId="11EDEB7C" w:rsidR="00C44669" w:rsidRPr="00C44669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 xml:space="preserve">Organizacja konferencji dotyczących zastosowań narzędzi informatycznych w nauczaniu różnych przedmiotów. </w:t>
            </w:r>
          </w:p>
        </w:tc>
        <w:tc>
          <w:tcPr>
            <w:tcW w:w="6102" w:type="dxa"/>
          </w:tcPr>
          <w:p w14:paraId="447FD9E5" w14:textId="7D42B317" w:rsidR="00C44669" w:rsidRPr="008463ED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Jest organizowana konferencja </w:t>
            </w:r>
            <w:proofErr w:type="spellStart"/>
            <w:r>
              <w:rPr>
                <w:rFonts w:ascii="Consolas" w:hAnsi="Consolas"/>
              </w:rPr>
              <w:t>IwE</w:t>
            </w:r>
            <w:proofErr w:type="spellEnd"/>
            <w:r w:rsidR="0001786A">
              <w:rPr>
                <w:rFonts w:ascii="Consolas" w:hAnsi="Consolas"/>
              </w:rPr>
              <w:t>.</w:t>
            </w:r>
          </w:p>
        </w:tc>
      </w:tr>
      <w:tr w:rsidR="000C3218" w:rsidRPr="008463ED" w14:paraId="6E269383" w14:textId="77777777" w:rsidTr="00AE5E07">
        <w:trPr>
          <w:cantSplit/>
        </w:trPr>
        <w:tc>
          <w:tcPr>
            <w:tcW w:w="1134" w:type="dxa"/>
          </w:tcPr>
          <w:p w14:paraId="27E86885" w14:textId="77777777" w:rsidR="000C3218" w:rsidRPr="008463ED" w:rsidRDefault="000C3218" w:rsidP="000C321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19FE6FCA" w14:textId="6F6FB2E9" w:rsidR="000C3218" w:rsidRPr="00C44669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>Utworzenie i utrzymywanie zasobu polskiej terminologii informatycznej.</w:t>
            </w:r>
          </w:p>
        </w:tc>
        <w:tc>
          <w:tcPr>
            <w:tcW w:w="6102" w:type="dxa"/>
          </w:tcPr>
          <w:p w14:paraId="51135812" w14:textId="298FE600" w:rsidR="000C3218" w:rsidRPr="008463ED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0C3218" w:rsidRPr="008463ED" w14:paraId="3BF9CF86" w14:textId="77777777" w:rsidTr="00AE5E07">
        <w:trPr>
          <w:cantSplit/>
        </w:trPr>
        <w:tc>
          <w:tcPr>
            <w:tcW w:w="1134" w:type="dxa"/>
          </w:tcPr>
          <w:p w14:paraId="32DC59B2" w14:textId="77777777" w:rsidR="000C3218" w:rsidRPr="008463ED" w:rsidRDefault="000C3218" w:rsidP="000C321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4A69E16C" w14:textId="2B2F7DB2" w:rsidR="000C3218" w:rsidRPr="00C44669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 xml:space="preserve">Wspierania polskojęzycznej </w:t>
            </w:r>
            <w:proofErr w:type="spellStart"/>
            <w:r w:rsidRPr="00C44669">
              <w:rPr>
                <w:rFonts w:ascii="Consolas" w:hAnsi="Consolas"/>
              </w:rPr>
              <w:t>wikipedii</w:t>
            </w:r>
            <w:proofErr w:type="spellEnd"/>
            <w:r w:rsidRPr="00C44669">
              <w:rPr>
                <w:rFonts w:ascii="Consolas" w:hAnsi="Consolas"/>
              </w:rPr>
              <w:t xml:space="preserve"> w obszarze tematycznym Informatyka poprzez weryfikację oraz opracowanie nowych haseł z zakresu informatyki.</w:t>
            </w:r>
          </w:p>
        </w:tc>
        <w:tc>
          <w:tcPr>
            <w:tcW w:w="6102" w:type="dxa"/>
          </w:tcPr>
          <w:p w14:paraId="5AF9CB51" w14:textId="5C14855C" w:rsidR="000C3218" w:rsidRPr="008463ED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Kwestia nie została podjęta – istniejąca sekcji z powodu braku aktywności została rozwiązana.</w:t>
            </w:r>
          </w:p>
        </w:tc>
      </w:tr>
    </w:tbl>
    <w:p w14:paraId="400B3DB7" w14:textId="29908BF9" w:rsidR="00072B78" w:rsidRDefault="00072B78" w:rsidP="00743257">
      <w:pPr>
        <w:widowControl/>
        <w:jc w:val="both"/>
        <w:rPr>
          <w:rFonts w:ascii="Consolas" w:hAnsi="Consolas" w:cs="Arial"/>
        </w:rPr>
      </w:pPr>
    </w:p>
    <w:p w14:paraId="295697B1" w14:textId="77777777" w:rsidR="00783D76" w:rsidRPr="008463ED" w:rsidRDefault="00783D76" w:rsidP="00743257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21"/>
        <w:gridCol w:w="6367"/>
        <w:gridCol w:w="6085"/>
      </w:tblGrid>
      <w:tr w:rsidR="009044E4" w:rsidRPr="008463ED" w14:paraId="4559438A" w14:textId="77777777" w:rsidTr="00783D76">
        <w:trPr>
          <w:cantSplit/>
        </w:trPr>
        <w:tc>
          <w:tcPr>
            <w:tcW w:w="1121" w:type="dxa"/>
          </w:tcPr>
          <w:p w14:paraId="0A4B6D9A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AB85170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</w:t>
            </w:r>
            <w:r w:rsidRPr="008463ED">
              <w:rPr>
                <w:rStyle w:val="Uwydatnienie"/>
                <w:rFonts w:ascii="Consolas" w:hAnsi="Consolas"/>
                <w:b/>
                <w:i w:val="0"/>
              </w:rPr>
              <w:t>Zawód – specjaliści i kompetencje</w:t>
            </w:r>
            <w:r w:rsidRPr="008463ED">
              <w:rPr>
                <w:rFonts w:ascii="Consolas" w:hAnsi="Consolas" w:cs="Arial"/>
                <w:b/>
              </w:rPr>
              <w:t>”</w:t>
            </w:r>
          </w:p>
        </w:tc>
        <w:tc>
          <w:tcPr>
            <w:tcW w:w="6085" w:type="dxa"/>
          </w:tcPr>
          <w:p w14:paraId="5C18FAC5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3858F8" w:rsidRPr="008463ED" w14:paraId="061213E8" w14:textId="77777777" w:rsidTr="00783D76">
        <w:trPr>
          <w:cantSplit/>
        </w:trPr>
        <w:tc>
          <w:tcPr>
            <w:tcW w:w="1121" w:type="dxa"/>
          </w:tcPr>
          <w:p w14:paraId="0C80D529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457E3912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Utworzenie systemu odpłatnej certyfikacji zawodowej (stopni zawodowych) informatyków – okresowe, odnawialne potwierdzanie dorobku zawodowego i praktycznego z grupą docelową – informatycy zawodowi i przedsiębiorstwa informatyczne.</w:t>
            </w:r>
          </w:p>
        </w:tc>
        <w:tc>
          <w:tcPr>
            <w:tcW w:w="6085" w:type="dxa"/>
          </w:tcPr>
          <w:p w14:paraId="166043B4" w14:textId="60F37C89" w:rsidR="003858F8" w:rsidRPr="008463ED" w:rsidRDefault="003858F8" w:rsidP="00CA24A7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</w:t>
            </w:r>
            <w:r w:rsidR="00CA24A7" w:rsidRPr="008463ED">
              <w:rPr>
                <w:rFonts w:ascii="Consolas" w:hAnsi="Consolas"/>
              </w:rPr>
              <w:t>stała podjęta, choć można uznać za działanie w tym kierunku uzyskanie wpisu</w:t>
            </w:r>
            <w:r w:rsidR="00AC62D6" w:rsidRPr="008463ED">
              <w:rPr>
                <w:rFonts w:ascii="Consolas" w:hAnsi="Consolas"/>
              </w:rPr>
              <w:t xml:space="preserve">  </w:t>
            </w:r>
            <w:r w:rsidR="00CA24A7" w:rsidRPr="008463ED">
              <w:rPr>
                <w:rFonts w:ascii="Consolas" w:hAnsi="Consolas"/>
              </w:rPr>
              <w:t xml:space="preserve"> kwalifikacji dot. </w:t>
            </w:r>
            <w:proofErr w:type="spellStart"/>
            <w:r w:rsidR="00CA24A7" w:rsidRPr="008463ED">
              <w:rPr>
                <w:rFonts w:ascii="Consolas" w:hAnsi="Consolas"/>
              </w:rPr>
              <w:t>cyberbezpieczeństwa</w:t>
            </w:r>
            <w:proofErr w:type="spellEnd"/>
            <w:r w:rsidR="00CA24A7" w:rsidRPr="008463ED">
              <w:rPr>
                <w:rFonts w:ascii="Consolas" w:hAnsi="Consolas"/>
              </w:rPr>
              <w:t xml:space="preserve"> do rejestru państwowego</w:t>
            </w:r>
            <w:r w:rsidR="000400CF" w:rsidRPr="008463ED">
              <w:rPr>
                <w:rFonts w:ascii="Consolas" w:hAnsi="Consolas"/>
              </w:rPr>
              <w:t xml:space="preserve">, </w:t>
            </w:r>
            <w:r w:rsidR="001A0DF9">
              <w:rPr>
                <w:rFonts w:ascii="Consolas" w:hAnsi="Consolas"/>
              </w:rPr>
              <w:t xml:space="preserve">ponadto </w:t>
            </w:r>
            <w:r w:rsidR="000400CF" w:rsidRPr="008463ED">
              <w:rPr>
                <w:rFonts w:ascii="Consolas" w:hAnsi="Consolas"/>
              </w:rPr>
              <w:t>złożono wnioski do MC o nadanie przez MC uprawnień do certyfikowania 3 kwalifikacji</w:t>
            </w:r>
          </w:p>
        </w:tc>
      </w:tr>
      <w:tr w:rsidR="003858F8" w:rsidRPr="008463ED" w14:paraId="19CEB1C7" w14:textId="77777777" w:rsidTr="00783D76">
        <w:trPr>
          <w:cantSplit/>
        </w:trPr>
        <w:tc>
          <w:tcPr>
            <w:tcW w:w="1121" w:type="dxa"/>
          </w:tcPr>
          <w:p w14:paraId="7E9251A4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4E5300C8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Organizacja platformy rozwoju zawodowego na preferencyjnych warunkach dla członków PTI - szkolenia, studia podyplomowe, certyfikacje produktowe.</w:t>
            </w:r>
          </w:p>
        </w:tc>
        <w:tc>
          <w:tcPr>
            <w:tcW w:w="6085" w:type="dxa"/>
          </w:tcPr>
          <w:p w14:paraId="6151CA67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3858F8" w:rsidRPr="008463ED" w14:paraId="52DEDEAF" w14:textId="77777777" w:rsidTr="00783D76">
        <w:trPr>
          <w:cantSplit/>
        </w:trPr>
        <w:tc>
          <w:tcPr>
            <w:tcW w:w="1121" w:type="dxa"/>
          </w:tcPr>
          <w:p w14:paraId="2986E966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37B4BA2F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Utworzenie rekomendowanego i okresowo aktualizowanego wzorcowego wykazu nazw stanowisk informatycznych merytorycznych, wraz z zarządczymi i towarzyszącymi w przedsiębiorstwach informatycznych, w powiązaniu z projektem CEPIS-u e-</w:t>
            </w:r>
            <w:proofErr w:type="spellStart"/>
            <w:r w:rsidRPr="008463ED">
              <w:rPr>
                <w:rFonts w:ascii="Consolas" w:hAnsi="Consolas"/>
              </w:rPr>
              <w:t>Competence</w:t>
            </w:r>
            <w:proofErr w:type="spellEnd"/>
            <w:r w:rsidRPr="008463ED">
              <w:rPr>
                <w:rFonts w:ascii="Consolas" w:hAnsi="Consolas"/>
              </w:rPr>
              <w:t xml:space="preserve"> Benchmark lub innymi z tego zakresu.</w:t>
            </w:r>
          </w:p>
        </w:tc>
        <w:tc>
          <w:tcPr>
            <w:tcW w:w="6085" w:type="dxa"/>
          </w:tcPr>
          <w:p w14:paraId="2B576588" w14:textId="2229D67E" w:rsidR="003858F8" w:rsidRPr="008463ED" w:rsidRDefault="003858F8" w:rsidP="001A0DF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</w:t>
            </w:r>
            <w:r w:rsidR="001A0DF9">
              <w:rPr>
                <w:rFonts w:ascii="Consolas" w:hAnsi="Consolas"/>
              </w:rPr>
              <w:t xml:space="preserve">, ale za </w:t>
            </w:r>
            <w:r w:rsidR="00645A70" w:rsidRPr="008463ED">
              <w:rPr>
                <w:rFonts w:ascii="Consolas" w:hAnsi="Consolas"/>
              </w:rPr>
              <w:t>Sektorowa Rada organizowała seminarium związane e-</w:t>
            </w:r>
            <w:proofErr w:type="spellStart"/>
            <w:r w:rsidR="00645A70" w:rsidRPr="008463ED">
              <w:rPr>
                <w:rFonts w:ascii="Consolas" w:hAnsi="Consolas"/>
              </w:rPr>
              <w:t>Competence</w:t>
            </w:r>
            <w:proofErr w:type="spellEnd"/>
            <w:r w:rsidR="00645A70" w:rsidRPr="008463ED">
              <w:rPr>
                <w:rFonts w:ascii="Consolas" w:hAnsi="Consolas"/>
              </w:rPr>
              <w:t xml:space="preserve"> Framework</w:t>
            </w:r>
            <w:r w:rsidR="001A0DF9">
              <w:rPr>
                <w:rFonts w:ascii="Consolas" w:hAnsi="Consolas"/>
              </w:rPr>
              <w:t xml:space="preserve"> </w:t>
            </w:r>
            <w:r w:rsidR="00645A70" w:rsidRPr="008463ED">
              <w:rPr>
                <w:rFonts w:ascii="Consolas" w:hAnsi="Consolas"/>
              </w:rPr>
              <w:t xml:space="preserve">- w planach </w:t>
            </w:r>
            <w:r w:rsidR="00857F85" w:rsidRPr="008463ED">
              <w:rPr>
                <w:rFonts w:ascii="Consolas" w:hAnsi="Consolas"/>
              </w:rPr>
              <w:t>lokalizacja</w:t>
            </w:r>
            <w:r w:rsidR="00645A70" w:rsidRPr="008463ED">
              <w:rPr>
                <w:rFonts w:ascii="Consolas" w:hAnsi="Consolas"/>
              </w:rPr>
              <w:t>.</w:t>
            </w:r>
          </w:p>
        </w:tc>
      </w:tr>
      <w:tr w:rsidR="003858F8" w:rsidRPr="008463ED" w14:paraId="59084158" w14:textId="77777777" w:rsidTr="00783D76">
        <w:trPr>
          <w:cantSplit/>
        </w:trPr>
        <w:tc>
          <w:tcPr>
            <w:tcW w:w="1121" w:type="dxa"/>
          </w:tcPr>
          <w:p w14:paraId="4B11B5F7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17EAF22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Podjęcie działań promocyjnych w zakresie certyfikacji specjalistów. </w:t>
            </w:r>
          </w:p>
        </w:tc>
        <w:tc>
          <w:tcPr>
            <w:tcW w:w="6085" w:type="dxa"/>
          </w:tcPr>
          <w:p w14:paraId="74115C21" w14:textId="2BDC6098" w:rsidR="003858F8" w:rsidRPr="008463ED" w:rsidRDefault="0001786A" w:rsidP="0001786A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Kwestia nie została podjęta, choć można uznać, że działanie </w:t>
            </w:r>
            <w:r>
              <w:rPr>
                <w:rFonts w:ascii="Consolas" w:hAnsi="Consolas"/>
                <w:color w:val="0070C0"/>
              </w:rPr>
              <w:t xml:space="preserve">wpisuje się </w:t>
            </w:r>
            <w:r>
              <w:rPr>
                <w:rFonts w:ascii="Consolas" w:hAnsi="Consolas"/>
                <w:color w:val="0070C0"/>
              </w:rPr>
              <w:t>w</w:t>
            </w:r>
            <w:r>
              <w:rPr>
                <w:rFonts w:ascii="Consolas" w:hAnsi="Consolas"/>
                <w:color w:val="0070C0"/>
              </w:rPr>
              <w:t xml:space="preserve"> seri</w:t>
            </w:r>
            <w:r>
              <w:rPr>
                <w:rFonts w:ascii="Consolas" w:hAnsi="Consolas"/>
                <w:color w:val="0070C0"/>
              </w:rPr>
              <w:t>ę</w:t>
            </w:r>
            <w:r>
              <w:rPr>
                <w:rFonts w:ascii="Consolas" w:hAnsi="Consolas"/>
                <w:color w:val="0070C0"/>
              </w:rPr>
              <w:t xml:space="preserve"> spotkań jakie zostały przeprowadzone w związku z podjęt</w:t>
            </w:r>
            <w:r>
              <w:rPr>
                <w:rFonts w:ascii="Consolas" w:hAnsi="Consolas"/>
                <w:color w:val="0070C0"/>
              </w:rPr>
              <w:t xml:space="preserve">ą aktywnością dotyczącą </w:t>
            </w:r>
            <w:r>
              <w:rPr>
                <w:rFonts w:ascii="Consolas" w:hAnsi="Consolas"/>
                <w:color w:val="0070C0"/>
              </w:rPr>
              <w:t>certyfikacj</w:t>
            </w:r>
            <w:r>
              <w:rPr>
                <w:rFonts w:ascii="Consolas" w:hAnsi="Consolas"/>
                <w:color w:val="0070C0"/>
              </w:rPr>
              <w:t>i</w:t>
            </w:r>
            <w:r>
              <w:rPr>
                <w:rFonts w:ascii="Consolas" w:hAnsi="Consolas"/>
                <w:color w:val="0070C0"/>
              </w:rPr>
              <w:t xml:space="preserve"> w zakresie </w:t>
            </w:r>
            <w:proofErr w:type="spellStart"/>
            <w:r>
              <w:rPr>
                <w:rFonts w:ascii="Consolas" w:hAnsi="Consolas"/>
                <w:color w:val="0070C0"/>
              </w:rPr>
              <w:t>cyberbezpieczeństwa</w:t>
            </w:r>
            <w:proofErr w:type="spellEnd"/>
            <w:r>
              <w:rPr>
                <w:rFonts w:ascii="Consolas" w:hAnsi="Consolas"/>
                <w:color w:val="0070C0"/>
              </w:rPr>
              <w:t xml:space="preserve"> (MC, NASK, PKO BP, Orange, Polkomtel, ZBP i inne)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3858F8" w:rsidRPr="008463ED" w14:paraId="28B345DE" w14:textId="77777777" w:rsidTr="00783D76">
        <w:trPr>
          <w:cantSplit/>
        </w:trPr>
        <w:tc>
          <w:tcPr>
            <w:tcW w:w="1121" w:type="dxa"/>
          </w:tcPr>
          <w:p w14:paraId="2CBFACCE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50551A86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Popularyzacja roli certyfikatów zawodowych (szczególnie wśród pracodawców).</w:t>
            </w:r>
          </w:p>
        </w:tc>
        <w:tc>
          <w:tcPr>
            <w:tcW w:w="6085" w:type="dxa"/>
          </w:tcPr>
          <w:p w14:paraId="6BE76FA7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3858F8" w:rsidRPr="008463ED" w14:paraId="2D88D2BD" w14:textId="77777777" w:rsidTr="00783D76">
        <w:trPr>
          <w:cantSplit/>
        </w:trPr>
        <w:tc>
          <w:tcPr>
            <w:tcW w:w="1121" w:type="dxa"/>
          </w:tcPr>
          <w:p w14:paraId="008C1438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18F04F29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Akcja "Informatycy informatykom" – szkolenia zawodowe dla informatyków czynnych zawodowo, opcjonalnie kończone certyfikatem wydawanym przez PTI.</w:t>
            </w:r>
          </w:p>
        </w:tc>
        <w:tc>
          <w:tcPr>
            <w:tcW w:w="6085" w:type="dxa"/>
          </w:tcPr>
          <w:p w14:paraId="56198ED1" w14:textId="5CF8274D" w:rsidR="003858F8" w:rsidRPr="008463ED" w:rsidRDefault="003858F8" w:rsidP="00857F85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Kwestia podjęta w ograniczonym zakresie – były szkolenia np. </w:t>
            </w:r>
            <w:r w:rsidR="00857F85" w:rsidRPr="008463ED">
              <w:rPr>
                <w:rFonts w:ascii="Consolas" w:hAnsi="Consolas"/>
              </w:rPr>
              <w:t>n</w:t>
            </w:r>
            <w:r w:rsidR="00092D69" w:rsidRPr="008463ED">
              <w:rPr>
                <w:rFonts w:ascii="Consolas" w:hAnsi="Consolas"/>
              </w:rPr>
              <w:t>orma</w:t>
            </w:r>
            <w:r w:rsidR="00AC62D6" w:rsidRPr="008463ED">
              <w:rPr>
                <w:rFonts w:ascii="Consolas" w:hAnsi="Consolas"/>
              </w:rPr>
              <w:t xml:space="preserve"> </w:t>
            </w:r>
            <w:r w:rsidR="00857F85" w:rsidRPr="008463ED">
              <w:rPr>
                <w:rFonts w:ascii="Consolas" w:hAnsi="Consolas"/>
              </w:rPr>
              <w:t>a</w:t>
            </w:r>
            <w:r w:rsidR="00AC62D6" w:rsidRPr="008463ED">
              <w:rPr>
                <w:rFonts w:ascii="Consolas" w:hAnsi="Consolas"/>
              </w:rPr>
              <w:t xml:space="preserve">udytor </w:t>
            </w:r>
            <w:r w:rsidR="00092D69" w:rsidRPr="008463ED">
              <w:rPr>
                <w:rFonts w:ascii="Consolas" w:hAnsi="Consolas"/>
              </w:rPr>
              <w:t>ISO IEC 15504-5 odwołująca się do zbliżonych norm ISO IEC 12207 i ISO IEC 15288</w:t>
            </w:r>
          </w:p>
        </w:tc>
      </w:tr>
      <w:tr w:rsidR="00CA24A7" w:rsidRPr="008463ED" w14:paraId="691BA08F" w14:textId="77777777" w:rsidTr="00783D76">
        <w:trPr>
          <w:cantSplit/>
        </w:trPr>
        <w:tc>
          <w:tcPr>
            <w:tcW w:w="1121" w:type="dxa"/>
          </w:tcPr>
          <w:p w14:paraId="7509608B" w14:textId="77777777" w:rsidR="00CA24A7" w:rsidRPr="008463ED" w:rsidRDefault="00CA24A7" w:rsidP="00CA24A7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3C9A411" w14:textId="77777777" w:rsidR="00CA24A7" w:rsidRPr="008463ED" w:rsidRDefault="00CA24A7" w:rsidP="00CA24A7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Cykliczne webinaria informatyczne – uruchomienie własnych kanałów webowych.</w:t>
            </w:r>
          </w:p>
        </w:tc>
        <w:tc>
          <w:tcPr>
            <w:tcW w:w="6085" w:type="dxa"/>
          </w:tcPr>
          <w:p w14:paraId="69A7E57B" w14:textId="77777777" w:rsidR="00CA24A7" w:rsidRPr="008463ED" w:rsidRDefault="00CA24A7" w:rsidP="00CA24A7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</w:tbl>
    <w:p w14:paraId="63EB77F9" w14:textId="7A0618AB" w:rsidR="00C25E7F" w:rsidRDefault="00C25E7F" w:rsidP="00C25E7F">
      <w:pPr>
        <w:widowControl/>
        <w:jc w:val="both"/>
        <w:rPr>
          <w:rFonts w:ascii="Consolas" w:hAnsi="Consolas" w:cs="Arial"/>
        </w:rPr>
      </w:pPr>
    </w:p>
    <w:p w14:paraId="56ED613D" w14:textId="6BB84A95" w:rsidR="00783D76" w:rsidRDefault="00783D76" w:rsidP="00C25E7F">
      <w:pPr>
        <w:widowControl/>
        <w:jc w:val="both"/>
        <w:rPr>
          <w:rFonts w:ascii="Consolas" w:hAnsi="Consolas" w:cs="Arial"/>
        </w:rPr>
      </w:pPr>
    </w:p>
    <w:p w14:paraId="181225C6" w14:textId="0B3FE949" w:rsidR="00783D76" w:rsidRDefault="00783D76" w:rsidP="00C25E7F">
      <w:pPr>
        <w:widowControl/>
        <w:jc w:val="both"/>
        <w:rPr>
          <w:rFonts w:ascii="Consolas" w:hAnsi="Consolas" w:cs="Arial"/>
        </w:rPr>
      </w:pPr>
    </w:p>
    <w:p w14:paraId="2DE54C85" w14:textId="77777777" w:rsidR="00783D76" w:rsidRPr="008463ED" w:rsidRDefault="00783D76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21"/>
        <w:gridCol w:w="6367"/>
        <w:gridCol w:w="6085"/>
      </w:tblGrid>
      <w:tr w:rsidR="009044E4" w:rsidRPr="008463ED" w14:paraId="503C0851" w14:textId="77777777" w:rsidTr="00783D76">
        <w:trPr>
          <w:cantSplit/>
        </w:trPr>
        <w:tc>
          <w:tcPr>
            <w:tcW w:w="1121" w:type="dxa"/>
          </w:tcPr>
          <w:p w14:paraId="5B66661E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26884DD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</w:t>
            </w:r>
            <w:r w:rsidRPr="008463ED">
              <w:rPr>
                <w:rStyle w:val="Uwydatnienie"/>
                <w:rFonts w:ascii="Consolas" w:hAnsi="Consolas"/>
                <w:b/>
                <w:i w:val="0"/>
              </w:rPr>
              <w:t>Edukacja – użytkownicy i umiejętności</w:t>
            </w:r>
            <w:r w:rsidRPr="008463ED">
              <w:rPr>
                <w:rFonts w:ascii="Consolas" w:hAnsi="Consolas" w:cs="Arial"/>
                <w:b/>
              </w:rPr>
              <w:t>”</w:t>
            </w:r>
          </w:p>
        </w:tc>
        <w:tc>
          <w:tcPr>
            <w:tcW w:w="6085" w:type="dxa"/>
          </w:tcPr>
          <w:p w14:paraId="7EBDBE57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9044E4" w:rsidRPr="008463ED" w14:paraId="72C98D1E" w14:textId="77777777" w:rsidTr="00783D76">
        <w:trPr>
          <w:cantSplit/>
        </w:trPr>
        <w:tc>
          <w:tcPr>
            <w:tcW w:w="1121" w:type="dxa"/>
          </w:tcPr>
          <w:p w14:paraId="2A17EDCF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730AE4A1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Propagowanie i promowanie certyfikatów ECDL jako najlepszego sprawdzianu umiejętności komputerowych użytkowników informatyki – pracowników i kandydatów do pracy.</w:t>
            </w:r>
          </w:p>
        </w:tc>
        <w:tc>
          <w:tcPr>
            <w:tcW w:w="6085" w:type="dxa"/>
          </w:tcPr>
          <w:p w14:paraId="03F1EACE" w14:textId="77777777" w:rsidR="009044E4" w:rsidRPr="008463ED" w:rsidRDefault="00BA3661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PB ECDL</w:t>
            </w:r>
          </w:p>
        </w:tc>
      </w:tr>
      <w:tr w:rsidR="009044E4" w:rsidRPr="008463ED" w14:paraId="03CEA45F" w14:textId="77777777" w:rsidTr="00783D76">
        <w:trPr>
          <w:cantSplit/>
        </w:trPr>
        <w:tc>
          <w:tcPr>
            <w:tcW w:w="1121" w:type="dxa"/>
          </w:tcPr>
          <w:p w14:paraId="39379F26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25E15A56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Udział w pracach nad Krajową Ramą Kwalifikacji i Zintegrowanym Rejestrem Kwalifikacji.</w:t>
            </w:r>
          </w:p>
        </w:tc>
        <w:tc>
          <w:tcPr>
            <w:tcW w:w="6085" w:type="dxa"/>
          </w:tcPr>
          <w:p w14:paraId="51534D70" w14:textId="77777777" w:rsidR="009044E4" w:rsidRPr="008463ED" w:rsidRDefault="00BA3661" w:rsidP="00B16E4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podjęta w ograniczonym zakresie – wpisanie kwalifikacji do rejestru państwowego,</w:t>
            </w:r>
            <w:r w:rsidR="00B16E49" w:rsidRPr="008463ED">
              <w:rPr>
                <w:rFonts w:ascii="Consolas" w:hAnsi="Consolas"/>
              </w:rPr>
              <w:t xml:space="preserve"> uzyskanie uprawnień instytucji certyfikującej w ramach ZSK,</w:t>
            </w:r>
            <w:r w:rsidRPr="008463ED">
              <w:rPr>
                <w:rFonts w:ascii="Consolas" w:hAnsi="Consolas"/>
              </w:rPr>
              <w:t xml:space="preserve"> działalność Rady Sektorowej</w:t>
            </w:r>
            <w:r w:rsidR="00645A70" w:rsidRPr="008463ED">
              <w:rPr>
                <w:rFonts w:ascii="Consolas" w:hAnsi="Consolas"/>
              </w:rPr>
              <w:t>. Opiniowanie wniosków o wpisanie kwalifikacji do ZRK.</w:t>
            </w:r>
          </w:p>
        </w:tc>
      </w:tr>
      <w:tr w:rsidR="00BA3661" w:rsidRPr="008463ED" w14:paraId="4717DE74" w14:textId="77777777" w:rsidTr="00783D76">
        <w:trPr>
          <w:cantSplit/>
        </w:trPr>
        <w:tc>
          <w:tcPr>
            <w:tcW w:w="1121" w:type="dxa"/>
          </w:tcPr>
          <w:p w14:paraId="29848C75" w14:textId="77777777" w:rsidR="00BA3661" w:rsidRPr="008463ED" w:rsidRDefault="00BA3661" w:rsidP="00BA3661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5D0D23F7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Kontynuowanie tradycyjnych i rozwijanie nowych produktów ECDL, jak e-Urzędnik i e-Nauczyciel, rozwijanie popularności certyfikatu ECDL na poziomie szkół gimnazjalnych, średnich oraz uczelni.</w:t>
            </w:r>
          </w:p>
        </w:tc>
        <w:tc>
          <w:tcPr>
            <w:tcW w:w="6085" w:type="dxa"/>
          </w:tcPr>
          <w:p w14:paraId="5C29B529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PB ECDL</w:t>
            </w:r>
          </w:p>
        </w:tc>
      </w:tr>
      <w:tr w:rsidR="00BA3661" w:rsidRPr="008463ED" w14:paraId="4BF84857" w14:textId="77777777" w:rsidTr="00783D76">
        <w:trPr>
          <w:cantSplit/>
        </w:trPr>
        <w:tc>
          <w:tcPr>
            <w:tcW w:w="1121" w:type="dxa"/>
          </w:tcPr>
          <w:p w14:paraId="79BDEBF1" w14:textId="77777777" w:rsidR="00BA3661" w:rsidRPr="008463ED" w:rsidRDefault="00BA3661" w:rsidP="00BA3661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6117AA9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Promowanie standardu ECDL IT Security jako elementu bezpiecznego korzystania z narzędzi TIK.</w:t>
            </w:r>
          </w:p>
        </w:tc>
        <w:tc>
          <w:tcPr>
            <w:tcW w:w="6085" w:type="dxa"/>
          </w:tcPr>
          <w:p w14:paraId="679B4D7B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PB ECDL</w:t>
            </w:r>
          </w:p>
        </w:tc>
      </w:tr>
      <w:tr w:rsidR="00BA3661" w:rsidRPr="008463ED" w14:paraId="674B45BF" w14:textId="77777777" w:rsidTr="00783D76">
        <w:trPr>
          <w:cantSplit/>
        </w:trPr>
        <w:tc>
          <w:tcPr>
            <w:tcW w:w="1121" w:type="dxa"/>
          </w:tcPr>
          <w:p w14:paraId="0EFC1796" w14:textId="77777777" w:rsidR="00BA3661" w:rsidRPr="008463ED" w:rsidRDefault="00BA3661" w:rsidP="00BA3661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78219122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Poszerzenie oferty certyfikacji dla osób niepełnosprawnych.</w:t>
            </w:r>
          </w:p>
        </w:tc>
        <w:tc>
          <w:tcPr>
            <w:tcW w:w="6085" w:type="dxa"/>
          </w:tcPr>
          <w:p w14:paraId="3AC9B5AB" w14:textId="3708ACDC" w:rsidR="00BA3661" w:rsidRPr="008463ED" w:rsidRDefault="00BA3661" w:rsidP="00B16E4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PB ECDL</w:t>
            </w:r>
          </w:p>
        </w:tc>
      </w:tr>
      <w:tr w:rsidR="00BA3661" w:rsidRPr="008463ED" w14:paraId="5DB190AB" w14:textId="77777777" w:rsidTr="00783D76">
        <w:trPr>
          <w:cantSplit/>
        </w:trPr>
        <w:tc>
          <w:tcPr>
            <w:tcW w:w="1121" w:type="dxa"/>
          </w:tcPr>
          <w:p w14:paraId="4DBFAE6A" w14:textId="77777777" w:rsidR="00BA3661" w:rsidRPr="008463ED" w:rsidRDefault="00BA3661" w:rsidP="00BA3661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4D930647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 w:line="242" w:lineRule="auto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Realizacja projektów związanych z ECDL służących skorelowaniu programów nauczania z wymaganiami ECDL. </w:t>
            </w:r>
          </w:p>
        </w:tc>
        <w:tc>
          <w:tcPr>
            <w:tcW w:w="6085" w:type="dxa"/>
          </w:tcPr>
          <w:p w14:paraId="1C64AF9B" w14:textId="0C81BE65" w:rsidR="00BA3661" w:rsidRPr="008463ED" w:rsidRDefault="0066465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Działania wykonuje PB ECDL – Specjalna oferta dla szkół podstawowych, gimnazjalnych i średnich – Program „Klasa z ECDL” + </w:t>
            </w:r>
            <w:proofErr w:type="spellStart"/>
            <w:r w:rsidRPr="008463ED">
              <w:rPr>
                <w:rFonts w:ascii="Consolas" w:hAnsi="Consolas"/>
              </w:rPr>
              <w:t>exeBOOK</w:t>
            </w:r>
            <w:proofErr w:type="spellEnd"/>
          </w:p>
        </w:tc>
      </w:tr>
      <w:tr w:rsidR="00D00480" w:rsidRPr="008463ED" w14:paraId="5BE1B9A8" w14:textId="77777777" w:rsidTr="00783D76">
        <w:trPr>
          <w:cantSplit/>
        </w:trPr>
        <w:tc>
          <w:tcPr>
            <w:tcW w:w="1121" w:type="dxa"/>
          </w:tcPr>
          <w:p w14:paraId="0007D547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478DC083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 w:line="242" w:lineRule="auto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Upowszechnienie oferty ECDL dla administracji publicznej i samorządów. </w:t>
            </w:r>
          </w:p>
        </w:tc>
        <w:tc>
          <w:tcPr>
            <w:tcW w:w="6085" w:type="dxa"/>
          </w:tcPr>
          <w:p w14:paraId="241F3284" w14:textId="36781C58" w:rsidR="00D00480" w:rsidRPr="008463ED" w:rsidRDefault="00D00480" w:rsidP="0066465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Działania wykonuje PB ECDL </w:t>
            </w:r>
          </w:p>
        </w:tc>
      </w:tr>
      <w:tr w:rsidR="00D00480" w:rsidRPr="008463ED" w14:paraId="1F81A514" w14:textId="77777777" w:rsidTr="00783D76">
        <w:trPr>
          <w:cantSplit/>
        </w:trPr>
        <w:tc>
          <w:tcPr>
            <w:tcW w:w="1121" w:type="dxa"/>
          </w:tcPr>
          <w:p w14:paraId="7D9C5BB6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727754B8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Inicjowanie, wspieranie i organizacja projektów mających na celu dokształcanie i doskonalenie administracji szkolnej, nauczycieli TI i informatyki we współpracy z MEN.</w:t>
            </w:r>
          </w:p>
        </w:tc>
        <w:tc>
          <w:tcPr>
            <w:tcW w:w="6085" w:type="dxa"/>
          </w:tcPr>
          <w:p w14:paraId="66F9FD92" w14:textId="38E426F9" w:rsidR="00D00480" w:rsidRPr="008463ED" w:rsidRDefault="00D00480" w:rsidP="0066465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Działania wykonuje PB ECDL </w:t>
            </w:r>
          </w:p>
        </w:tc>
      </w:tr>
      <w:tr w:rsidR="00D00480" w:rsidRPr="008463ED" w14:paraId="70C8164A" w14:textId="77777777" w:rsidTr="00783D76">
        <w:trPr>
          <w:cantSplit/>
        </w:trPr>
        <w:tc>
          <w:tcPr>
            <w:tcW w:w="1121" w:type="dxa"/>
          </w:tcPr>
          <w:p w14:paraId="4BA6BE57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56E0F3C9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Organizacja, wspieranie i patronaty dla pokazów, warsztatów, konkursów informatycznych, olimpiad i konferencji dla młodzieży. </w:t>
            </w:r>
          </w:p>
        </w:tc>
        <w:tc>
          <w:tcPr>
            <w:tcW w:w="6085" w:type="dxa"/>
          </w:tcPr>
          <w:p w14:paraId="0EF53A3E" w14:textId="37D7E3FE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są wykonywane, m.in. ostatnio podpisano porozumienie z KO Olimpiady Informatycznej, PTI współorganizowało konferencję XX</w:t>
            </w:r>
            <w:r w:rsidR="00DF6A7D" w:rsidRPr="008463ED">
              <w:rPr>
                <w:rFonts w:ascii="Consolas" w:hAnsi="Consolas"/>
              </w:rPr>
              <w:t>V</w:t>
            </w:r>
            <w:r w:rsidRPr="008463ED">
              <w:rPr>
                <w:rFonts w:ascii="Consolas" w:hAnsi="Consolas"/>
              </w:rPr>
              <w:t>-</w:t>
            </w:r>
            <w:proofErr w:type="spellStart"/>
            <w:r w:rsidRPr="008463ED">
              <w:rPr>
                <w:rFonts w:ascii="Consolas" w:hAnsi="Consolas"/>
              </w:rPr>
              <w:t>lecia</w:t>
            </w:r>
            <w:proofErr w:type="spellEnd"/>
            <w:r w:rsidRPr="008463ED">
              <w:rPr>
                <w:rFonts w:ascii="Consolas" w:hAnsi="Consolas"/>
              </w:rPr>
              <w:t xml:space="preserve"> OI</w:t>
            </w:r>
            <w:r w:rsidR="00DF6A7D" w:rsidRPr="008463ED">
              <w:rPr>
                <w:rFonts w:ascii="Consolas" w:hAnsi="Consolas"/>
              </w:rPr>
              <w:t xml:space="preserve">, nagrody przy </w:t>
            </w:r>
            <w:proofErr w:type="spellStart"/>
            <w:r w:rsidR="00DF6A7D" w:rsidRPr="008463ED">
              <w:rPr>
                <w:rFonts w:ascii="Consolas" w:hAnsi="Consolas"/>
              </w:rPr>
              <w:t>FedCSIS</w:t>
            </w:r>
            <w:proofErr w:type="spellEnd"/>
            <w:r w:rsidR="00DF6A7D" w:rsidRPr="008463ED">
              <w:rPr>
                <w:rFonts w:ascii="Consolas" w:hAnsi="Consolas"/>
              </w:rPr>
              <w:t xml:space="preserve"> w konkursie Z.</w:t>
            </w:r>
            <w:r w:rsidR="000400CF" w:rsidRPr="008463ED">
              <w:rPr>
                <w:rFonts w:ascii="Consolas" w:hAnsi="Consolas"/>
              </w:rPr>
              <w:t xml:space="preserve"> </w:t>
            </w:r>
            <w:r w:rsidR="00DF6A7D" w:rsidRPr="008463ED">
              <w:rPr>
                <w:rFonts w:ascii="Consolas" w:hAnsi="Consolas"/>
              </w:rPr>
              <w:t xml:space="preserve">Pawlaka </w:t>
            </w:r>
            <w:r w:rsidRPr="008463ED">
              <w:rPr>
                <w:rFonts w:ascii="Consolas" w:hAnsi="Consolas"/>
              </w:rPr>
              <w:t xml:space="preserve">  </w:t>
            </w:r>
          </w:p>
        </w:tc>
      </w:tr>
      <w:tr w:rsidR="00D00480" w:rsidRPr="008463ED" w14:paraId="3B6CDD7A" w14:textId="77777777" w:rsidTr="00783D76">
        <w:trPr>
          <w:cantSplit/>
        </w:trPr>
        <w:tc>
          <w:tcPr>
            <w:tcW w:w="1121" w:type="dxa"/>
          </w:tcPr>
          <w:p w14:paraId="470C16CF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35D3DBD7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Kontynuacja i rozwój konkursów informatycznych (np. TIK?-TAK!, Pan TIK, Bóbr i inne). </w:t>
            </w:r>
          </w:p>
        </w:tc>
        <w:tc>
          <w:tcPr>
            <w:tcW w:w="6085" w:type="dxa"/>
          </w:tcPr>
          <w:p w14:paraId="274D1070" w14:textId="77777777" w:rsidR="00D00480" w:rsidRDefault="00D00480" w:rsidP="00F73F2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wykonywane</w:t>
            </w:r>
            <w:r w:rsidR="00E8694E" w:rsidRPr="008463ED">
              <w:rPr>
                <w:rFonts w:ascii="Consolas" w:hAnsi="Consolas"/>
              </w:rPr>
              <w:t xml:space="preserve"> (Bóbr), część konkursów nie jest kontynuowana - TIK?-TAK!, </w:t>
            </w:r>
            <w:r w:rsidR="00DF6A7D" w:rsidRPr="008463ED">
              <w:rPr>
                <w:rFonts w:ascii="Consolas" w:hAnsi="Consolas"/>
              </w:rPr>
              <w:t>Edukacja z Panem</w:t>
            </w:r>
            <w:r w:rsidR="00E8694E" w:rsidRPr="008463ED">
              <w:rPr>
                <w:rFonts w:ascii="Consolas" w:hAnsi="Consolas"/>
              </w:rPr>
              <w:t xml:space="preserve"> TIK</w:t>
            </w:r>
            <w:r w:rsidR="00F73F21">
              <w:rPr>
                <w:rFonts w:ascii="Consolas" w:hAnsi="Consolas"/>
              </w:rPr>
              <w:t>.</w:t>
            </w:r>
          </w:p>
          <w:p w14:paraId="1BA59C60" w14:textId="0EF01BD0" w:rsidR="009325A2" w:rsidRPr="008463ED" w:rsidRDefault="009325A2" w:rsidP="009325A2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  <w:color w:val="0070C0"/>
              </w:rPr>
              <w:t xml:space="preserve">PTI wspiera organizację </w:t>
            </w:r>
            <w:r>
              <w:rPr>
                <w:rFonts w:ascii="Consolas" w:hAnsi="Consolas"/>
                <w:color w:val="0070C0"/>
              </w:rPr>
              <w:t>f</w:t>
            </w:r>
            <w:r>
              <w:rPr>
                <w:rFonts w:ascii="Consolas" w:hAnsi="Consolas"/>
                <w:color w:val="0070C0"/>
              </w:rPr>
              <w:t>inałów Olimpiady Informatycznej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D00480" w:rsidRPr="008463ED" w14:paraId="2E01BBE7" w14:textId="77777777" w:rsidTr="00783D76">
        <w:trPr>
          <w:cantSplit/>
        </w:trPr>
        <w:tc>
          <w:tcPr>
            <w:tcW w:w="1121" w:type="dxa"/>
          </w:tcPr>
          <w:p w14:paraId="5A79598D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7C6D53F4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Wspieranie skierowanej na szkolnictwo akcji krzewienia myślenia algorytmicznego oraz podstaw programowania.</w:t>
            </w:r>
          </w:p>
        </w:tc>
        <w:tc>
          <w:tcPr>
            <w:tcW w:w="6085" w:type="dxa"/>
          </w:tcPr>
          <w:p w14:paraId="093AC0C3" w14:textId="62B7B90C" w:rsidR="00D00480" w:rsidRPr="008463ED" w:rsidRDefault="00E8694E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są wykonywane (konferencja „Informatyka w Edukacji”)</w:t>
            </w:r>
            <w:r w:rsidR="00664651" w:rsidRPr="008463ED">
              <w:rPr>
                <w:rFonts w:ascii="Consolas" w:hAnsi="Consolas"/>
              </w:rPr>
              <w:t xml:space="preserve">, został wdrożony nowy moduł ECDL S10 Podstawy programowania w języku </w:t>
            </w:r>
            <w:proofErr w:type="spellStart"/>
            <w:r w:rsidR="00664651" w:rsidRPr="008463ED">
              <w:rPr>
                <w:rFonts w:ascii="Consolas" w:hAnsi="Consolas"/>
              </w:rPr>
              <w:t>Python</w:t>
            </w:r>
            <w:proofErr w:type="spellEnd"/>
            <w:r w:rsidR="00664651" w:rsidRPr="008463ED">
              <w:rPr>
                <w:rFonts w:ascii="Consolas" w:hAnsi="Consolas"/>
              </w:rPr>
              <w:t xml:space="preserve"> oraz </w:t>
            </w:r>
            <w:proofErr w:type="spellStart"/>
            <w:r w:rsidR="00664651" w:rsidRPr="008463ED">
              <w:rPr>
                <w:rFonts w:ascii="Consolas" w:hAnsi="Consolas"/>
              </w:rPr>
              <w:t>Scratch</w:t>
            </w:r>
            <w:proofErr w:type="spellEnd"/>
          </w:p>
        </w:tc>
      </w:tr>
    </w:tbl>
    <w:p w14:paraId="13925633" w14:textId="50B54A3B" w:rsidR="00C25E7F" w:rsidRDefault="00C25E7F" w:rsidP="00C25E7F">
      <w:pPr>
        <w:widowControl/>
        <w:jc w:val="both"/>
        <w:rPr>
          <w:rFonts w:ascii="Consolas" w:hAnsi="Consolas" w:cs="Arial"/>
        </w:rPr>
      </w:pPr>
    </w:p>
    <w:p w14:paraId="55ED90F3" w14:textId="77777777" w:rsidR="00783D76" w:rsidRPr="008463ED" w:rsidRDefault="00783D76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23"/>
        <w:gridCol w:w="6357"/>
        <w:gridCol w:w="6093"/>
      </w:tblGrid>
      <w:tr w:rsidR="009044E4" w:rsidRPr="008463ED" w14:paraId="32985489" w14:textId="77777777" w:rsidTr="00783D76">
        <w:trPr>
          <w:cantSplit/>
        </w:trPr>
        <w:tc>
          <w:tcPr>
            <w:tcW w:w="1123" w:type="dxa"/>
          </w:tcPr>
          <w:p w14:paraId="7001AEBA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0B990B5C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</w:t>
            </w:r>
            <w:r w:rsidRPr="008463ED">
              <w:rPr>
                <w:rStyle w:val="Uwydatnienie"/>
                <w:rFonts w:ascii="Consolas" w:hAnsi="Consolas"/>
                <w:b/>
                <w:i w:val="0"/>
              </w:rPr>
              <w:t>Usługi – niezależne ekspertyzy i doradztwo</w:t>
            </w:r>
            <w:r w:rsidRPr="008463ED">
              <w:rPr>
                <w:rFonts w:ascii="Consolas" w:hAnsi="Consolas" w:cs="Arial"/>
                <w:b/>
              </w:rPr>
              <w:t>”</w:t>
            </w:r>
          </w:p>
        </w:tc>
        <w:tc>
          <w:tcPr>
            <w:tcW w:w="6093" w:type="dxa"/>
          </w:tcPr>
          <w:p w14:paraId="09559095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9044E4" w:rsidRPr="008463ED" w14:paraId="7310B31C" w14:textId="77777777" w:rsidTr="00783D76">
        <w:trPr>
          <w:cantSplit/>
        </w:trPr>
        <w:tc>
          <w:tcPr>
            <w:tcW w:w="1123" w:type="dxa"/>
          </w:tcPr>
          <w:p w14:paraId="18EFCC49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427CCF0E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Realizacja zleceń urzędów centralnych, instytucji publicznych, jednostek samorządu terytorialnego oraz firm komercyjnych.</w:t>
            </w:r>
          </w:p>
        </w:tc>
        <w:tc>
          <w:tcPr>
            <w:tcW w:w="6093" w:type="dxa"/>
          </w:tcPr>
          <w:p w14:paraId="49203150" w14:textId="77777777" w:rsidR="009044E4" w:rsidRPr="008463ED" w:rsidRDefault="00E8694E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IR PTI</w:t>
            </w:r>
          </w:p>
        </w:tc>
      </w:tr>
      <w:tr w:rsidR="009044E4" w:rsidRPr="008463ED" w14:paraId="0B0D4117" w14:textId="77777777" w:rsidTr="00783D76">
        <w:trPr>
          <w:cantSplit/>
        </w:trPr>
        <w:tc>
          <w:tcPr>
            <w:tcW w:w="1123" w:type="dxa"/>
          </w:tcPr>
          <w:p w14:paraId="62B42C56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3515C020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Inicjowanie, wspieranie wspólnych projektów we współpracy administracji, uczelni i organizacji biznesowych.</w:t>
            </w:r>
          </w:p>
        </w:tc>
        <w:tc>
          <w:tcPr>
            <w:tcW w:w="6093" w:type="dxa"/>
          </w:tcPr>
          <w:p w14:paraId="1E786026" w14:textId="39E436AC" w:rsidR="009325A2" w:rsidRPr="008463ED" w:rsidRDefault="009325A2" w:rsidP="009325A2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  <w:color w:val="0070C0"/>
              </w:rPr>
              <w:t>W końcu sierpnia</w:t>
            </w:r>
            <w:r>
              <w:rPr>
                <w:rFonts w:ascii="Consolas" w:hAnsi="Consolas"/>
                <w:color w:val="0070C0"/>
              </w:rPr>
              <w:t xml:space="preserve"> 2019 r.</w:t>
            </w:r>
            <w:r>
              <w:rPr>
                <w:rFonts w:ascii="Consolas" w:hAnsi="Consolas"/>
                <w:color w:val="0070C0"/>
              </w:rPr>
              <w:t xml:space="preserve"> ustalono, że w ramach współpracy z NASK PTI wprowadzi do systemu OSE własne propozycje dotyczące kwestii </w:t>
            </w:r>
            <w:proofErr w:type="spellStart"/>
            <w:r>
              <w:rPr>
                <w:rFonts w:ascii="Consolas" w:hAnsi="Consolas"/>
                <w:color w:val="0070C0"/>
              </w:rPr>
              <w:t>cyberbezpieczeństwa</w:t>
            </w:r>
            <w:proofErr w:type="spellEnd"/>
            <w:r>
              <w:rPr>
                <w:rFonts w:ascii="Consolas" w:hAnsi="Consolas"/>
                <w:color w:val="0070C0"/>
              </w:rPr>
              <w:t xml:space="preserve">, seminariów w tematyce „świadomość cyfrowa”, wykładu dotyczącego historii informatyki </w:t>
            </w:r>
            <w:r>
              <w:rPr>
                <w:rFonts w:ascii="Consolas" w:hAnsi="Consolas"/>
                <w:color w:val="0070C0"/>
              </w:rPr>
              <w:t>itd.</w:t>
            </w:r>
          </w:p>
        </w:tc>
      </w:tr>
      <w:tr w:rsidR="009044E4" w:rsidRPr="008463ED" w14:paraId="16DAB9D1" w14:textId="77777777" w:rsidTr="00783D76">
        <w:trPr>
          <w:cantSplit/>
        </w:trPr>
        <w:tc>
          <w:tcPr>
            <w:tcW w:w="1123" w:type="dxa"/>
          </w:tcPr>
          <w:p w14:paraId="1686B413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48B6F087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Nawiązanie współpracy z jednostkami samorządu terytorialnego. </w:t>
            </w:r>
          </w:p>
        </w:tc>
        <w:tc>
          <w:tcPr>
            <w:tcW w:w="6093" w:type="dxa"/>
          </w:tcPr>
          <w:p w14:paraId="7B106FED" w14:textId="77777777" w:rsidR="009325A2" w:rsidRDefault="00E8694E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</w:t>
            </w:r>
            <w:r w:rsidR="009325A2">
              <w:rPr>
                <w:rFonts w:ascii="Consolas" w:hAnsi="Consolas"/>
              </w:rPr>
              <w:t xml:space="preserve"> szerzej</w:t>
            </w:r>
            <w:r w:rsidRPr="008463ED">
              <w:rPr>
                <w:rFonts w:ascii="Consolas" w:hAnsi="Consolas"/>
              </w:rPr>
              <w:t>.</w:t>
            </w:r>
            <w:r w:rsidR="00645A70" w:rsidRPr="008463ED">
              <w:rPr>
                <w:rFonts w:ascii="Consolas" w:hAnsi="Consolas"/>
              </w:rPr>
              <w:t xml:space="preserve"> </w:t>
            </w:r>
          </w:p>
          <w:p w14:paraId="307989E7" w14:textId="37D4EB6E" w:rsidR="009044E4" w:rsidRDefault="00645A70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Oddział Łódzki nawiązał współpracę z Wydziałem Społeczeństwa Informacyjnego Urzędu Marszałkowskiego w Łodzi</w:t>
            </w:r>
            <w:r w:rsidR="009325A2">
              <w:rPr>
                <w:rFonts w:ascii="Consolas" w:hAnsi="Consolas"/>
              </w:rPr>
              <w:t>.</w:t>
            </w:r>
          </w:p>
          <w:p w14:paraId="2D364AA7" w14:textId="7E2BCFBD" w:rsidR="009325A2" w:rsidRPr="008463ED" w:rsidRDefault="009325A2" w:rsidP="009325A2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  <w:color w:val="0070C0"/>
              </w:rPr>
              <w:t>Poprzez sekretariat SPRUC PTI ma kontakt ze wszystkimi urzędami marszałkowskimi województw, które podpisały porozumienie ze SPRUC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E8694E" w:rsidRPr="008463ED" w14:paraId="0D8DD208" w14:textId="77777777" w:rsidTr="00783D76">
        <w:trPr>
          <w:cantSplit/>
        </w:trPr>
        <w:tc>
          <w:tcPr>
            <w:tcW w:w="1123" w:type="dxa"/>
          </w:tcPr>
          <w:p w14:paraId="601755E6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7A4743A0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Ekspertyzy dla dostawców i odbiorców rozwiązań TIK z sektora biznesowego. </w:t>
            </w:r>
          </w:p>
        </w:tc>
        <w:tc>
          <w:tcPr>
            <w:tcW w:w="6093" w:type="dxa"/>
          </w:tcPr>
          <w:p w14:paraId="1AFA409F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IR PTI</w:t>
            </w:r>
          </w:p>
        </w:tc>
      </w:tr>
      <w:tr w:rsidR="00E8694E" w:rsidRPr="008463ED" w14:paraId="34D6A7A3" w14:textId="77777777" w:rsidTr="00783D76">
        <w:trPr>
          <w:cantSplit/>
        </w:trPr>
        <w:tc>
          <w:tcPr>
            <w:tcW w:w="1123" w:type="dxa"/>
          </w:tcPr>
          <w:p w14:paraId="14BF2E36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055C9507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Współpraca z firmami informatycznymi – organizacja spotkań z ich udziałem, prezentacja ich dokonań, potrzeb, planów na przyszłość.</w:t>
            </w:r>
          </w:p>
        </w:tc>
        <w:tc>
          <w:tcPr>
            <w:tcW w:w="6093" w:type="dxa"/>
          </w:tcPr>
          <w:p w14:paraId="4BCDE4FD" w14:textId="77777777" w:rsidR="00E8694E" w:rsidRPr="008463ED" w:rsidRDefault="000F40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podjęta, choć pewne formy takiej współpracy dotyczą działań Rady Sektorowej</w:t>
            </w:r>
            <w:r w:rsidR="00645A70" w:rsidRPr="008463ED">
              <w:rPr>
                <w:rFonts w:ascii="Consolas" w:hAnsi="Consolas"/>
              </w:rPr>
              <w:t xml:space="preserve"> – udział w SBKL, organizacja warsztatu.</w:t>
            </w:r>
          </w:p>
        </w:tc>
      </w:tr>
      <w:tr w:rsidR="00E8694E" w:rsidRPr="008463ED" w14:paraId="6FC6CCAC" w14:textId="77777777" w:rsidTr="00783D76">
        <w:trPr>
          <w:cantSplit/>
        </w:trPr>
        <w:tc>
          <w:tcPr>
            <w:tcW w:w="1123" w:type="dxa"/>
          </w:tcPr>
          <w:p w14:paraId="29E9D702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0AEA2373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Współpraca partnerska z organizatorami konferencji ogólnopolskich i regionalnych oraz wydarzeń branżowych i informatycznych, a także z firmami medialnymi.</w:t>
            </w:r>
          </w:p>
        </w:tc>
        <w:tc>
          <w:tcPr>
            <w:tcW w:w="6093" w:type="dxa"/>
          </w:tcPr>
          <w:p w14:paraId="535E9D56" w14:textId="3D42F87F" w:rsidR="00E8694E" w:rsidRPr="008463ED" w:rsidRDefault="000F40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  <w:r w:rsidR="009D28AA" w:rsidRPr="008463ED">
              <w:rPr>
                <w:rFonts w:ascii="Consolas" w:hAnsi="Consolas"/>
              </w:rPr>
              <w:t xml:space="preserve"> Sektorowa Rada współorganizuje </w:t>
            </w:r>
            <w:proofErr w:type="spellStart"/>
            <w:r w:rsidR="009D28AA" w:rsidRPr="008463ED">
              <w:rPr>
                <w:rFonts w:ascii="Consolas" w:hAnsi="Consolas"/>
              </w:rPr>
              <w:t>Edumixer</w:t>
            </w:r>
            <w:proofErr w:type="spellEnd"/>
            <w:r w:rsidR="009D28AA" w:rsidRPr="008463ED">
              <w:rPr>
                <w:rFonts w:ascii="Consolas" w:hAnsi="Consolas"/>
              </w:rPr>
              <w:t>, panel na Forum Teleinformatyki w Miedzeszynie.</w:t>
            </w:r>
            <w:r w:rsidR="00DF6A7D" w:rsidRPr="008463ED">
              <w:rPr>
                <w:rFonts w:ascii="Consolas" w:hAnsi="Consolas"/>
              </w:rPr>
              <w:t xml:space="preserve"> Udział w debatach, </w:t>
            </w:r>
            <w:r w:rsidR="000400CF" w:rsidRPr="008463ED">
              <w:rPr>
                <w:rFonts w:ascii="Consolas" w:hAnsi="Consolas"/>
              </w:rPr>
              <w:t>panelach</w:t>
            </w:r>
            <w:r w:rsidR="00DF6A7D" w:rsidRPr="008463ED">
              <w:rPr>
                <w:rFonts w:ascii="Consolas" w:hAnsi="Consolas"/>
              </w:rPr>
              <w:t xml:space="preserve"> oraz wykłady członków PTI w związku z udzielonymi patronatami</w:t>
            </w:r>
          </w:p>
        </w:tc>
      </w:tr>
      <w:tr w:rsidR="00E8694E" w:rsidRPr="008463ED" w14:paraId="4445553F" w14:textId="77777777" w:rsidTr="00783D76">
        <w:trPr>
          <w:cantSplit/>
        </w:trPr>
        <w:tc>
          <w:tcPr>
            <w:tcW w:w="1123" w:type="dxa"/>
          </w:tcPr>
          <w:p w14:paraId="38A6D9EC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7402FAE3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Wspólne projekty wykorzystujące potencjał Izby Rzeczoznawców i ECDL. </w:t>
            </w:r>
          </w:p>
        </w:tc>
        <w:tc>
          <w:tcPr>
            <w:tcW w:w="6093" w:type="dxa"/>
          </w:tcPr>
          <w:p w14:paraId="315FD399" w14:textId="21425384" w:rsidR="00E8694E" w:rsidRPr="008463ED" w:rsidRDefault="00092D69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E8694E" w:rsidRPr="008463ED" w14:paraId="3CD63CE3" w14:textId="77777777" w:rsidTr="00783D76">
        <w:trPr>
          <w:cantSplit/>
        </w:trPr>
        <w:tc>
          <w:tcPr>
            <w:tcW w:w="1123" w:type="dxa"/>
          </w:tcPr>
          <w:p w14:paraId="32E4225C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75070068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Realizacja projektów regionalnych przez oddziały i koła w zakresie Izby Rzeczoznawców i certyfikacji. </w:t>
            </w:r>
          </w:p>
        </w:tc>
        <w:tc>
          <w:tcPr>
            <w:tcW w:w="6093" w:type="dxa"/>
          </w:tcPr>
          <w:p w14:paraId="28A77F95" w14:textId="088AABE0" w:rsidR="00E8694E" w:rsidRPr="008463ED" w:rsidRDefault="00092D69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E8694E" w:rsidRPr="008463ED" w14:paraId="707ED147" w14:textId="77777777" w:rsidTr="00783D76">
        <w:trPr>
          <w:cantSplit/>
        </w:trPr>
        <w:tc>
          <w:tcPr>
            <w:tcW w:w="1123" w:type="dxa"/>
          </w:tcPr>
          <w:p w14:paraId="01EAAE6E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23325CE6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Realizacja wspólnych projektów ponadregionalnych w zakresie Izby Rzeczoznawców i certyfikacji.</w:t>
            </w:r>
          </w:p>
        </w:tc>
        <w:tc>
          <w:tcPr>
            <w:tcW w:w="6093" w:type="dxa"/>
          </w:tcPr>
          <w:p w14:paraId="5E229A1A" w14:textId="5C52DAE0" w:rsidR="00E8694E" w:rsidRPr="008463ED" w:rsidRDefault="00092D69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Działania wykonuje IR PTI </w:t>
            </w:r>
          </w:p>
        </w:tc>
      </w:tr>
      <w:tr w:rsidR="00E8694E" w:rsidRPr="008463ED" w14:paraId="13450EC0" w14:textId="77777777" w:rsidTr="00783D76">
        <w:trPr>
          <w:cantSplit/>
        </w:trPr>
        <w:tc>
          <w:tcPr>
            <w:tcW w:w="1123" w:type="dxa"/>
          </w:tcPr>
          <w:p w14:paraId="4C2F77F8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541A4394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Zbudowanie bazy wiedzy metodycznej i merytorycznej dla działalności Izby Rzeczoznawców. </w:t>
            </w:r>
          </w:p>
        </w:tc>
        <w:tc>
          <w:tcPr>
            <w:tcW w:w="6093" w:type="dxa"/>
          </w:tcPr>
          <w:p w14:paraId="0E9F607B" w14:textId="77777777" w:rsidR="00E8694E" w:rsidRPr="008463ED" w:rsidRDefault="000F40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E8694E" w:rsidRPr="008463ED" w14:paraId="2AB6E72A" w14:textId="77777777" w:rsidTr="00783D76">
        <w:trPr>
          <w:cantSplit/>
        </w:trPr>
        <w:tc>
          <w:tcPr>
            <w:tcW w:w="1123" w:type="dxa"/>
          </w:tcPr>
          <w:p w14:paraId="5B539AD7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316801B3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Rozwój regionalnych struktur Izby Rzeczoznawców PTI.</w:t>
            </w:r>
          </w:p>
        </w:tc>
        <w:tc>
          <w:tcPr>
            <w:tcW w:w="6093" w:type="dxa"/>
          </w:tcPr>
          <w:p w14:paraId="7E15F076" w14:textId="77777777" w:rsidR="00E8694E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Pomimo umocowania organizacyjnego (regulamin) tzw. TEREN nie funkcjonuje</w:t>
            </w:r>
          </w:p>
        </w:tc>
      </w:tr>
    </w:tbl>
    <w:p w14:paraId="45CEF952" w14:textId="77777777" w:rsidR="00C25E7F" w:rsidRPr="008463ED" w:rsidRDefault="00C25E7F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16"/>
        <w:gridCol w:w="6408"/>
        <w:gridCol w:w="6049"/>
      </w:tblGrid>
      <w:tr w:rsidR="009044E4" w:rsidRPr="008463ED" w14:paraId="767AC1EE" w14:textId="77777777" w:rsidTr="00783D76">
        <w:trPr>
          <w:cantSplit/>
        </w:trPr>
        <w:tc>
          <w:tcPr>
            <w:tcW w:w="1116" w:type="dxa"/>
          </w:tcPr>
          <w:p w14:paraId="303F8812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1053E6BF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</w:t>
            </w:r>
            <w:r w:rsidRPr="008463ED">
              <w:rPr>
                <w:rFonts w:ascii="Consolas" w:hAnsi="Consolas"/>
                <w:b/>
                <w:iCs/>
              </w:rPr>
              <w:t>Społeczeństwo – technologie, obywatele, prawo, państwo</w:t>
            </w:r>
            <w:r w:rsidRPr="008463ED">
              <w:rPr>
                <w:rFonts w:ascii="Consolas" w:hAnsi="Consolas" w:cs="Arial"/>
                <w:b/>
              </w:rPr>
              <w:t>”</w:t>
            </w:r>
          </w:p>
        </w:tc>
        <w:tc>
          <w:tcPr>
            <w:tcW w:w="6049" w:type="dxa"/>
          </w:tcPr>
          <w:p w14:paraId="7DC7D672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9044E4" w:rsidRPr="008463ED" w14:paraId="2DCBD3B4" w14:textId="77777777" w:rsidTr="00783D76">
        <w:trPr>
          <w:cantSplit/>
        </w:trPr>
        <w:tc>
          <w:tcPr>
            <w:tcW w:w="1116" w:type="dxa"/>
          </w:tcPr>
          <w:p w14:paraId="5E6EC4AA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5A7B9BAD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Promocja PTI w środowiskach nauki, administracji i biznesu. </w:t>
            </w:r>
          </w:p>
        </w:tc>
        <w:tc>
          <w:tcPr>
            <w:tcW w:w="6049" w:type="dxa"/>
          </w:tcPr>
          <w:p w14:paraId="53102798" w14:textId="0D8ACA43" w:rsidR="009044E4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są wykonywane, m.in. w ramach ŚDSI</w:t>
            </w:r>
            <w:r w:rsidR="000400CF" w:rsidRPr="008463ED">
              <w:rPr>
                <w:rFonts w:ascii="Consolas" w:hAnsi="Consolas"/>
              </w:rPr>
              <w:t>,</w:t>
            </w:r>
            <w:r w:rsidR="00DF6A7D" w:rsidRPr="008463ED">
              <w:rPr>
                <w:rFonts w:ascii="Consolas" w:hAnsi="Consolas"/>
              </w:rPr>
              <w:t xml:space="preserve"> w tym INFOSTAT </w:t>
            </w:r>
            <w:r w:rsidRPr="008463ED">
              <w:rPr>
                <w:rFonts w:ascii="Consolas" w:hAnsi="Consolas"/>
              </w:rPr>
              <w:t>, obchodów 70-lecia Polskiej Informatyki, medale 70-lecia</w:t>
            </w:r>
            <w:r w:rsidR="00DF6A7D" w:rsidRPr="008463ED">
              <w:rPr>
                <w:rFonts w:ascii="Consolas" w:hAnsi="Consolas"/>
              </w:rPr>
              <w:t xml:space="preserve">, </w:t>
            </w:r>
            <w:r w:rsidR="00A245CA">
              <w:rPr>
                <w:rFonts w:ascii="Consolas" w:hAnsi="Consolas"/>
                <w:color w:val="0070C0"/>
              </w:rPr>
              <w:t>statuetki honorowe,</w:t>
            </w:r>
            <w:r w:rsidR="00A245CA">
              <w:rPr>
                <w:rFonts w:ascii="Consolas" w:hAnsi="Consolas"/>
                <w:color w:val="0070C0"/>
              </w:rPr>
              <w:t xml:space="preserve"> </w:t>
            </w:r>
            <w:r w:rsidR="00DF6A7D" w:rsidRPr="008463ED">
              <w:rPr>
                <w:rFonts w:ascii="Consolas" w:hAnsi="Consolas"/>
              </w:rPr>
              <w:t xml:space="preserve">nagrody </w:t>
            </w:r>
            <w:proofErr w:type="spellStart"/>
            <w:r w:rsidR="00DF6A7D" w:rsidRPr="008463ED">
              <w:rPr>
                <w:rFonts w:ascii="Consolas" w:hAnsi="Consolas"/>
              </w:rPr>
              <w:t>Infostar</w:t>
            </w:r>
            <w:proofErr w:type="spellEnd"/>
          </w:p>
        </w:tc>
      </w:tr>
      <w:tr w:rsidR="009044E4" w:rsidRPr="008463ED" w14:paraId="18489F74" w14:textId="77777777" w:rsidTr="00783D76">
        <w:trPr>
          <w:cantSplit/>
        </w:trPr>
        <w:tc>
          <w:tcPr>
            <w:tcW w:w="1116" w:type="dxa"/>
          </w:tcPr>
          <w:p w14:paraId="7F855FED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3ABE0880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Popularyzacja różnych kategorii rozwiązań, w tym opartych na licencjach otwartych. </w:t>
            </w:r>
          </w:p>
        </w:tc>
        <w:tc>
          <w:tcPr>
            <w:tcW w:w="6049" w:type="dxa"/>
          </w:tcPr>
          <w:p w14:paraId="2758E4A7" w14:textId="77777777" w:rsidR="009044E4" w:rsidRPr="008463ED" w:rsidRDefault="00D126C0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w zasadzie nie została podjęta.</w:t>
            </w:r>
          </w:p>
        </w:tc>
      </w:tr>
      <w:tr w:rsidR="009044E4" w:rsidRPr="008463ED" w14:paraId="6F039424" w14:textId="77777777" w:rsidTr="00783D76">
        <w:trPr>
          <w:cantSplit/>
        </w:trPr>
        <w:tc>
          <w:tcPr>
            <w:tcW w:w="1116" w:type="dxa"/>
          </w:tcPr>
          <w:p w14:paraId="3519F53D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3FE205AB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Opiniowanie dotyczące zagadnień informatycznych z szerszym włączeniem do tego przedsięwzięcia członków PTI z przedsiębiorstw i uczelni.</w:t>
            </w:r>
          </w:p>
        </w:tc>
        <w:tc>
          <w:tcPr>
            <w:tcW w:w="6049" w:type="dxa"/>
          </w:tcPr>
          <w:p w14:paraId="5D004929" w14:textId="3828AFBB" w:rsidR="009044E4" w:rsidRPr="008463ED" w:rsidRDefault="00D126C0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wykonywane, ale w obecnej kadencji w znikomym wymiarze</w:t>
            </w:r>
            <w:r w:rsidR="00A245CA">
              <w:rPr>
                <w:rFonts w:ascii="Consolas" w:hAnsi="Consolas"/>
              </w:rPr>
              <w:t xml:space="preserve">. </w:t>
            </w:r>
            <w:r w:rsidR="00A245CA">
              <w:rPr>
                <w:rFonts w:ascii="Consolas" w:hAnsi="Consolas"/>
                <w:color w:val="0070C0"/>
              </w:rPr>
              <w:t>PTI przekazuje uwagi w ramach posiedzeń Komisji Nowych Technologii Sejmu</w:t>
            </w:r>
            <w:r w:rsidR="00A245CA">
              <w:rPr>
                <w:rFonts w:ascii="Consolas" w:hAnsi="Consolas"/>
                <w:color w:val="0070C0"/>
              </w:rPr>
              <w:t>.</w:t>
            </w:r>
          </w:p>
        </w:tc>
      </w:tr>
      <w:tr w:rsidR="009044E4" w:rsidRPr="008463ED" w14:paraId="3B9506C1" w14:textId="77777777" w:rsidTr="00783D76">
        <w:trPr>
          <w:cantSplit/>
        </w:trPr>
        <w:tc>
          <w:tcPr>
            <w:tcW w:w="1116" w:type="dxa"/>
          </w:tcPr>
          <w:p w14:paraId="775718A5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63595D9D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Powołanie profesjonalnego zespołu opiniodawczego w zakresie regulacji prawnych dotyczących informatyki i teleinformatyki. </w:t>
            </w:r>
          </w:p>
        </w:tc>
        <w:tc>
          <w:tcPr>
            <w:tcW w:w="6049" w:type="dxa"/>
          </w:tcPr>
          <w:p w14:paraId="06EB177B" w14:textId="414BCD18" w:rsidR="009044E4" w:rsidRDefault="00D126C0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Kwestia nie została </w:t>
            </w:r>
            <w:r w:rsidR="00A245CA">
              <w:rPr>
                <w:rFonts w:ascii="Consolas" w:hAnsi="Consolas"/>
              </w:rPr>
              <w:t xml:space="preserve">szerzej </w:t>
            </w:r>
            <w:r w:rsidRPr="008463ED">
              <w:rPr>
                <w:rFonts w:ascii="Consolas" w:hAnsi="Consolas"/>
              </w:rPr>
              <w:t>podjęta.</w:t>
            </w:r>
          </w:p>
          <w:p w14:paraId="5804EAFA" w14:textId="1F439536" w:rsidR="00A245CA" w:rsidRDefault="00A245CA" w:rsidP="00A245CA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  <w:color w:val="0070C0"/>
              </w:rPr>
            </w:pPr>
            <w:r>
              <w:rPr>
                <w:rFonts w:ascii="Consolas" w:hAnsi="Consolas"/>
                <w:color w:val="0070C0"/>
              </w:rPr>
              <w:t xml:space="preserve">Temat był podniesiony ogólnym apelem do społeczności PTI. Wstępnie zgłosiło się kilka osób, ich prace ma koordynować kol. </w:t>
            </w:r>
            <w:r>
              <w:rPr>
                <w:rFonts w:ascii="Consolas" w:hAnsi="Consolas"/>
                <w:color w:val="0070C0"/>
              </w:rPr>
              <w:t xml:space="preserve">Tomasz </w:t>
            </w:r>
            <w:r>
              <w:rPr>
                <w:rFonts w:ascii="Consolas" w:hAnsi="Consolas"/>
                <w:color w:val="0070C0"/>
              </w:rPr>
              <w:t xml:space="preserve">Szatkowski. </w:t>
            </w:r>
          </w:p>
          <w:p w14:paraId="76692A9F" w14:textId="4A79A83C" w:rsidR="00A245CA" w:rsidRPr="008463ED" w:rsidRDefault="00A245CA" w:rsidP="00A245CA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  <w:color w:val="0070C0"/>
              </w:rPr>
              <w:t>Większość kierowanych do PTI próśb o opinie prawne i merytoryczne są kierowane w otwarty sposób do członków PTI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9044E4" w:rsidRPr="008463ED" w14:paraId="61B6D684" w14:textId="77777777" w:rsidTr="00783D76">
        <w:trPr>
          <w:cantSplit/>
        </w:trPr>
        <w:tc>
          <w:tcPr>
            <w:tcW w:w="1116" w:type="dxa"/>
          </w:tcPr>
          <w:p w14:paraId="5F30F0A7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738D2F00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Zapraszanie do uczestnictwa w blokach tematycznych dotyczących regulacji prawnych konferencji i seminariów organizowanych przez PTI przedstawicieli administracji i władz centralnych oraz lokalnych.</w:t>
            </w:r>
          </w:p>
        </w:tc>
        <w:tc>
          <w:tcPr>
            <w:tcW w:w="6049" w:type="dxa"/>
          </w:tcPr>
          <w:p w14:paraId="0BEA1F4B" w14:textId="77777777" w:rsidR="009044E4" w:rsidRDefault="00D126C0" w:rsidP="00DF6A7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wykonywane, m.in. w ramach ŚDSI</w:t>
            </w:r>
            <w:r w:rsidR="00DF6A7D" w:rsidRPr="008463ED">
              <w:rPr>
                <w:rFonts w:ascii="Consolas" w:hAnsi="Consolas"/>
              </w:rPr>
              <w:t xml:space="preserve"> oraz innych konferencji, seminariów</w:t>
            </w:r>
            <w:r w:rsidR="00A245CA">
              <w:rPr>
                <w:rFonts w:ascii="Consolas" w:hAnsi="Consolas"/>
              </w:rPr>
              <w:t>.</w:t>
            </w:r>
          </w:p>
          <w:p w14:paraId="0A510844" w14:textId="3FD0CB30" w:rsidR="00A245CA" w:rsidRPr="008463ED" w:rsidRDefault="00A245CA" w:rsidP="00DF6A7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  <w:color w:val="0070C0"/>
              </w:rPr>
              <w:t xml:space="preserve">We współorganizowanej przez PTI konferencji Świadomość cyfrowa – w blokach tematycznych i panelach występują przedstawiciele administracji  </w:t>
            </w:r>
          </w:p>
        </w:tc>
      </w:tr>
      <w:tr w:rsidR="00D126C0" w:rsidRPr="008463ED" w14:paraId="722B9B2C" w14:textId="77777777" w:rsidTr="00783D76">
        <w:trPr>
          <w:cantSplit/>
        </w:trPr>
        <w:tc>
          <w:tcPr>
            <w:tcW w:w="1116" w:type="dxa"/>
          </w:tcPr>
          <w:p w14:paraId="3E508089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315FE7E7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Cykliczne opracowywanie raportów i stanowisk przedstawiających aktualny stan polskiej informatyki oraz edukacji informatycznej i prognozy na przyszłość, dostępnych na witrynie PTI.</w:t>
            </w:r>
          </w:p>
        </w:tc>
        <w:tc>
          <w:tcPr>
            <w:tcW w:w="6049" w:type="dxa"/>
          </w:tcPr>
          <w:p w14:paraId="4750647B" w14:textId="2C261D78" w:rsidR="00A245CA" w:rsidRPr="008463ED" w:rsidRDefault="00A245CA" w:rsidP="00A245CA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Kwestia nie została podjęta, choć </w:t>
            </w:r>
            <w:r>
              <w:rPr>
                <w:rFonts w:ascii="Consolas" w:hAnsi="Consolas"/>
                <w:color w:val="0070C0"/>
              </w:rPr>
              <w:t>można odnotować początek debaty „Kim jest współczesny informatyk”, towarzyszyła mu publikacja</w:t>
            </w:r>
            <w:r>
              <w:rPr>
                <w:rFonts w:ascii="Consolas" w:hAnsi="Consolas"/>
                <w:color w:val="0070C0"/>
              </w:rPr>
              <w:t>.</w:t>
            </w:r>
          </w:p>
        </w:tc>
      </w:tr>
      <w:tr w:rsidR="00D126C0" w:rsidRPr="008463ED" w14:paraId="4E59DD74" w14:textId="77777777" w:rsidTr="00783D76">
        <w:trPr>
          <w:cantSplit/>
        </w:trPr>
        <w:tc>
          <w:tcPr>
            <w:tcW w:w="1116" w:type="dxa"/>
          </w:tcPr>
          <w:p w14:paraId="0DECD4AF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51A7EE0D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Popularyzacja opinii, raportów i stanowisk PTI.</w:t>
            </w:r>
          </w:p>
        </w:tc>
        <w:tc>
          <w:tcPr>
            <w:tcW w:w="6049" w:type="dxa"/>
          </w:tcPr>
          <w:p w14:paraId="32645692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D126C0" w:rsidRPr="008463ED" w14:paraId="75971C55" w14:textId="77777777" w:rsidTr="00783D76">
        <w:trPr>
          <w:cantSplit/>
        </w:trPr>
        <w:tc>
          <w:tcPr>
            <w:tcW w:w="1116" w:type="dxa"/>
          </w:tcPr>
          <w:p w14:paraId="689190BE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336AAE8D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Współpraca z organizacjami informatycznymi przy tworzeniu opinii. </w:t>
            </w:r>
          </w:p>
        </w:tc>
        <w:tc>
          <w:tcPr>
            <w:tcW w:w="6049" w:type="dxa"/>
          </w:tcPr>
          <w:p w14:paraId="1EB735C9" w14:textId="68168262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wykonywane, ale w zasadzie tylko we współpracy z PIIT</w:t>
            </w:r>
            <w:r w:rsidR="00A245CA">
              <w:rPr>
                <w:rFonts w:ascii="Consolas" w:hAnsi="Consolas"/>
              </w:rPr>
              <w:t xml:space="preserve"> </w:t>
            </w:r>
            <w:r w:rsidR="00A245CA">
              <w:rPr>
                <w:rFonts w:ascii="Consolas" w:hAnsi="Consolas"/>
                <w:color w:val="0070C0"/>
              </w:rPr>
              <w:t>oraz KIGEIT</w:t>
            </w:r>
            <w:r w:rsidR="00A245CA">
              <w:rPr>
                <w:rFonts w:ascii="Consolas" w:hAnsi="Consolas"/>
                <w:color w:val="0070C0"/>
              </w:rPr>
              <w:t>.</w:t>
            </w:r>
          </w:p>
        </w:tc>
      </w:tr>
      <w:tr w:rsidR="00D126C0" w:rsidRPr="008463ED" w14:paraId="0F0697ED" w14:textId="77777777" w:rsidTr="00783D76">
        <w:trPr>
          <w:cantSplit/>
        </w:trPr>
        <w:tc>
          <w:tcPr>
            <w:tcW w:w="1116" w:type="dxa"/>
          </w:tcPr>
          <w:p w14:paraId="4126F18C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0E0D6DB1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Propagowanie Kodeksu Zawodowego Informatyka (Kodeksu Etycznego PTI).</w:t>
            </w:r>
          </w:p>
        </w:tc>
        <w:tc>
          <w:tcPr>
            <w:tcW w:w="6049" w:type="dxa"/>
          </w:tcPr>
          <w:p w14:paraId="3435CD02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Kwestia w zasadzie nie została podjęta, poza indywidualnymi przypadkami prezentowania kodeksu w ramach programu nauczania w szkołach wyższych </w:t>
            </w:r>
          </w:p>
        </w:tc>
      </w:tr>
      <w:tr w:rsidR="00D126C0" w:rsidRPr="008463ED" w14:paraId="3D7A1B97" w14:textId="77777777" w:rsidTr="00783D76">
        <w:trPr>
          <w:cantSplit/>
        </w:trPr>
        <w:tc>
          <w:tcPr>
            <w:tcW w:w="1116" w:type="dxa"/>
          </w:tcPr>
          <w:p w14:paraId="0AFF1C8B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77F6B1DF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Kontynuacja i rozwój konferencji towarzystwa.</w:t>
            </w:r>
          </w:p>
        </w:tc>
        <w:tc>
          <w:tcPr>
            <w:tcW w:w="6049" w:type="dxa"/>
          </w:tcPr>
          <w:p w14:paraId="4E12ACC0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wykonywane</w:t>
            </w:r>
          </w:p>
        </w:tc>
      </w:tr>
      <w:tr w:rsidR="00D126C0" w:rsidRPr="008463ED" w14:paraId="587E95F9" w14:textId="77777777" w:rsidTr="00783D76">
        <w:trPr>
          <w:cantSplit/>
        </w:trPr>
        <w:tc>
          <w:tcPr>
            <w:tcW w:w="1116" w:type="dxa"/>
          </w:tcPr>
          <w:p w14:paraId="10814188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49BBB16F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Udział w przedsięwzięciach na nową perspektywę unijną.</w:t>
            </w:r>
          </w:p>
        </w:tc>
        <w:tc>
          <w:tcPr>
            <w:tcW w:w="6049" w:type="dxa"/>
          </w:tcPr>
          <w:p w14:paraId="4092BD8D" w14:textId="77777777" w:rsidR="00D126C0" w:rsidRPr="008463ED" w:rsidRDefault="00D126C0" w:rsidP="00B64475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w zasadzie nie została podjęta.</w:t>
            </w:r>
            <w:r w:rsidR="009D28AA" w:rsidRPr="008463ED">
              <w:rPr>
                <w:rFonts w:ascii="Consolas" w:hAnsi="Consolas"/>
              </w:rPr>
              <w:t xml:space="preserve"> Składane są </w:t>
            </w:r>
            <w:r w:rsidR="000238DB" w:rsidRPr="008463ED">
              <w:rPr>
                <w:rFonts w:ascii="Consolas" w:hAnsi="Consolas"/>
              </w:rPr>
              <w:t xml:space="preserve">wnioski o dofinansowanie np. w partnerstwie z fundacją e-Szkoła na konkurs 3.2 POPC i na konkurs 3.1 POPC, w partnerstwie z PIIT na Sektorową Radę ds. Telekomunikacji na konkurs </w:t>
            </w:r>
            <w:r w:rsidR="00B64475" w:rsidRPr="008463ED">
              <w:rPr>
                <w:rFonts w:ascii="Consolas" w:hAnsi="Consolas"/>
              </w:rPr>
              <w:t>2.12</w:t>
            </w:r>
            <w:r w:rsidR="000238DB" w:rsidRPr="008463ED">
              <w:rPr>
                <w:rFonts w:ascii="Consolas" w:hAnsi="Consolas"/>
              </w:rPr>
              <w:t xml:space="preserve"> POWER, w partnerstwie z KIG na konkurs </w:t>
            </w:r>
            <w:r w:rsidR="00B64475" w:rsidRPr="008463ED">
              <w:rPr>
                <w:rFonts w:ascii="Consolas" w:hAnsi="Consolas"/>
              </w:rPr>
              <w:t>2.21</w:t>
            </w:r>
            <w:r w:rsidR="000238DB" w:rsidRPr="008463ED">
              <w:rPr>
                <w:rFonts w:ascii="Consolas" w:hAnsi="Consolas"/>
              </w:rPr>
              <w:t xml:space="preserve"> na szkolenia z rekomendacji Rad Sektorowych.</w:t>
            </w:r>
          </w:p>
        </w:tc>
      </w:tr>
      <w:tr w:rsidR="00D126C0" w:rsidRPr="008463ED" w14:paraId="7F9C8663" w14:textId="77777777" w:rsidTr="00783D76">
        <w:trPr>
          <w:cantSplit/>
        </w:trPr>
        <w:tc>
          <w:tcPr>
            <w:tcW w:w="1116" w:type="dxa"/>
          </w:tcPr>
          <w:p w14:paraId="0B4C63CD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0C9D69FF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Uczestniczenie w procesie rozpowszechniania narzędzi TIK w podnoszeniu jakości życia osób niepełnosprawnych i trzeciego wieku (wirtualny uniwersytet III wieku).</w:t>
            </w:r>
          </w:p>
        </w:tc>
        <w:tc>
          <w:tcPr>
            <w:tcW w:w="6049" w:type="dxa"/>
          </w:tcPr>
          <w:p w14:paraId="0DF809CC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</w:tbl>
    <w:p w14:paraId="32DC7568" w14:textId="77777777" w:rsidR="00C25E7F" w:rsidRPr="008463ED" w:rsidRDefault="00C25E7F" w:rsidP="00C25E7F">
      <w:pPr>
        <w:widowControl/>
        <w:jc w:val="both"/>
        <w:rPr>
          <w:rFonts w:ascii="Consolas" w:hAnsi="Consolas" w:cs="Arial"/>
        </w:rPr>
      </w:pPr>
    </w:p>
    <w:p w14:paraId="297754EB" w14:textId="4AA9AEA7" w:rsidR="00D126C0" w:rsidRDefault="00D126C0" w:rsidP="00743257">
      <w:pPr>
        <w:widowControl/>
        <w:jc w:val="both"/>
        <w:rPr>
          <w:rFonts w:ascii="Consolas" w:hAnsi="Consolas" w:cs="Arial"/>
        </w:rPr>
      </w:pPr>
      <w:r w:rsidRPr="008463ED">
        <w:rPr>
          <w:rFonts w:ascii="Consolas" w:hAnsi="Consolas" w:cs="Arial"/>
        </w:rPr>
        <w:t>Opracowanie wersji roboczej: Janusz Dorożyński, wiceprezes PTI</w:t>
      </w:r>
      <w:r w:rsidR="00C307E2">
        <w:rPr>
          <w:rFonts w:ascii="Consolas" w:hAnsi="Consolas" w:cs="Arial"/>
        </w:rPr>
        <w:t xml:space="preserve">, </w:t>
      </w:r>
      <w:r w:rsidRPr="008463ED">
        <w:rPr>
          <w:rFonts w:ascii="Consolas" w:hAnsi="Consolas" w:cs="Arial"/>
        </w:rPr>
        <w:t>2019-09-05</w:t>
      </w:r>
    </w:p>
    <w:p w14:paraId="6A9E21BF" w14:textId="649ED4E5" w:rsidR="00C307E2" w:rsidRPr="008463ED" w:rsidRDefault="00C307E2" w:rsidP="00743257">
      <w:pPr>
        <w:widowControl/>
        <w:jc w:val="both"/>
        <w:rPr>
          <w:rFonts w:ascii="Consolas" w:hAnsi="Consolas" w:cs="Arial"/>
        </w:rPr>
      </w:pPr>
      <w:r>
        <w:rPr>
          <w:rFonts w:ascii="Consolas" w:hAnsi="Consolas" w:cs="Arial"/>
        </w:rPr>
        <w:t>Opracowani</w:t>
      </w:r>
      <w:r w:rsidR="00EE1E8F">
        <w:rPr>
          <w:rFonts w:ascii="Consolas" w:hAnsi="Consolas" w:cs="Arial"/>
        </w:rPr>
        <w:t>e</w:t>
      </w:r>
      <w:r>
        <w:rPr>
          <w:rFonts w:ascii="Consolas" w:hAnsi="Consolas" w:cs="Arial"/>
        </w:rPr>
        <w:t xml:space="preserve"> wersji 2’1 – dodanie </w:t>
      </w:r>
      <w:r w:rsidR="00EE1E8F">
        <w:rPr>
          <w:rFonts w:ascii="Consolas" w:hAnsi="Consolas" w:cs="Arial"/>
        </w:rPr>
        <w:t xml:space="preserve">niezamierzenie </w:t>
      </w:r>
      <w:r>
        <w:rPr>
          <w:rFonts w:ascii="Consolas" w:hAnsi="Consolas" w:cs="Arial"/>
        </w:rPr>
        <w:t>opuszczonych działań K-II</w:t>
      </w:r>
      <w:r w:rsidR="00EE1E8F">
        <w:rPr>
          <w:rFonts w:ascii="Consolas" w:hAnsi="Consolas" w:cs="Arial"/>
        </w:rPr>
        <w:t>.7 do 12</w:t>
      </w:r>
      <w:r>
        <w:rPr>
          <w:rFonts w:ascii="Consolas" w:hAnsi="Consolas" w:cs="Arial"/>
        </w:rPr>
        <w:t xml:space="preserve">: </w:t>
      </w:r>
      <w:r w:rsidRPr="008463ED">
        <w:rPr>
          <w:rFonts w:ascii="Consolas" w:hAnsi="Consolas" w:cs="Arial"/>
        </w:rPr>
        <w:t>Janusz Dorożyński, wiceprezes PTI</w:t>
      </w:r>
      <w:r>
        <w:rPr>
          <w:rFonts w:ascii="Consolas" w:hAnsi="Consolas" w:cs="Arial"/>
        </w:rPr>
        <w:t>, 2019-09-10</w:t>
      </w:r>
    </w:p>
    <w:p w14:paraId="04C8F6B5" w14:textId="771E3FC3" w:rsidR="00737E63" w:rsidRPr="008463ED" w:rsidRDefault="00737E63" w:rsidP="00737E63">
      <w:pPr>
        <w:widowControl/>
        <w:jc w:val="both"/>
        <w:rPr>
          <w:rFonts w:ascii="Consolas" w:hAnsi="Consolas" w:cs="Arial"/>
        </w:rPr>
      </w:pPr>
      <w:r>
        <w:rPr>
          <w:rFonts w:ascii="Consolas" w:hAnsi="Consolas" w:cs="Arial"/>
        </w:rPr>
        <w:t xml:space="preserve">Opracowanie wersji </w:t>
      </w:r>
      <w:r>
        <w:rPr>
          <w:rFonts w:ascii="Consolas" w:hAnsi="Consolas" w:cs="Arial"/>
        </w:rPr>
        <w:t>3</w:t>
      </w:r>
      <w:r>
        <w:rPr>
          <w:rFonts w:ascii="Consolas" w:hAnsi="Consolas" w:cs="Arial"/>
        </w:rPr>
        <w:t xml:space="preserve"> – </w:t>
      </w:r>
      <w:r>
        <w:rPr>
          <w:rFonts w:ascii="Consolas" w:hAnsi="Consolas" w:cs="Arial"/>
        </w:rPr>
        <w:t>uzupełnienia prezesa PTI Włodzimierza Marcińskiego (niebieska czcionka w kolumnie „Podjęte działania…”)</w:t>
      </w:r>
      <w:r>
        <w:rPr>
          <w:rFonts w:ascii="Consolas" w:hAnsi="Consolas" w:cs="Arial"/>
        </w:rPr>
        <w:t xml:space="preserve">: </w:t>
      </w:r>
      <w:r w:rsidRPr="008463ED">
        <w:rPr>
          <w:rFonts w:ascii="Consolas" w:hAnsi="Consolas" w:cs="Arial"/>
        </w:rPr>
        <w:t>Janusz Dorożyński, wiceprezes PTI</w:t>
      </w:r>
      <w:r>
        <w:rPr>
          <w:rFonts w:ascii="Consolas" w:hAnsi="Consolas" w:cs="Arial"/>
        </w:rPr>
        <w:t>, 2019-09-10</w:t>
      </w:r>
    </w:p>
    <w:p w14:paraId="296CA4FE" w14:textId="77777777" w:rsidR="00737E63" w:rsidRDefault="00737E63" w:rsidP="00743257">
      <w:pPr>
        <w:widowControl/>
        <w:jc w:val="both"/>
        <w:rPr>
          <w:rFonts w:ascii="Consolas" w:hAnsi="Consolas" w:cs="Arial"/>
        </w:rPr>
      </w:pPr>
    </w:p>
    <w:p w14:paraId="6F3C6784" w14:textId="0725B416" w:rsidR="00A247D7" w:rsidRPr="008463ED" w:rsidRDefault="00A247D7" w:rsidP="00743257">
      <w:pPr>
        <w:widowControl/>
        <w:jc w:val="both"/>
        <w:rPr>
          <w:rFonts w:ascii="Consolas" w:hAnsi="Consolas" w:cs="Arial"/>
        </w:rPr>
      </w:pPr>
      <w:r w:rsidRPr="008463ED">
        <w:rPr>
          <w:rFonts w:ascii="Consolas" w:hAnsi="Consolas" w:cs="Arial"/>
        </w:rPr>
        <w:t>Zmiany/uzupełnienia wykonane: Ewa Lisowska, PB ECDL</w:t>
      </w:r>
      <w:r w:rsidR="00532BD0">
        <w:rPr>
          <w:rFonts w:ascii="Consolas" w:hAnsi="Consolas" w:cs="Arial"/>
        </w:rPr>
        <w:t xml:space="preserve">; </w:t>
      </w:r>
      <w:r w:rsidRPr="008463ED">
        <w:rPr>
          <w:rFonts w:ascii="Consolas" w:hAnsi="Consolas" w:cs="Arial"/>
        </w:rPr>
        <w:t>2019-09-06</w:t>
      </w:r>
    </w:p>
    <w:p w14:paraId="26D35F88" w14:textId="77777777" w:rsidR="00532BD0" w:rsidRDefault="00532BD0" w:rsidP="00743257">
      <w:pPr>
        <w:widowControl/>
        <w:jc w:val="both"/>
        <w:rPr>
          <w:rFonts w:ascii="Consolas" w:hAnsi="Consolas" w:cs="Consolas"/>
        </w:rPr>
      </w:pPr>
    </w:p>
    <w:p w14:paraId="16EA87E8" w14:textId="2E56D165" w:rsidR="00092D69" w:rsidRPr="008463ED" w:rsidRDefault="00092D69" w:rsidP="00743257">
      <w:pPr>
        <w:widowControl/>
        <w:jc w:val="both"/>
        <w:rPr>
          <w:rFonts w:ascii="Consolas" w:hAnsi="Consolas" w:cs="Consolas"/>
        </w:rPr>
      </w:pPr>
      <w:r w:rsidRPr="008463ED">
        <w:rPr>
          <w:rFonts w:ascii="Consolas" w:hAnsi="Consolas" w:cs="Consolas"/>
        </w:rPr>
        <w:t xml:space="preserve">Zmiany/uzupełnienia wykonane: Dominika Sachowicz-Wołek, </w:t>
      </w:r>
      <w:r w:rsidR="00532BD0">
        <w:rPr>
          <w:rFonts w:ascii="Consolas" w:hAnsi="Consolas" w:cs="Consolas"/>
        </w:rPr>
        <w:t>s</w:t>
      </w:r>
      <w:r w:rsidRPr="008463ED">
        <w:rPr>
          <w:rFonts w:ascii="Consolas" w:hAnsi="Consolas" w:cs="Consolas"/>
        </w:rPr>
        <w:t xml:space="preserve">t. </w:t>
      </w:r>
      <w:r w:rsidR="00532BD0">
        <w:rPr>
          <w:rFonts w:ascii="Consolas" w:hAnsi="Consolas" w:cs="Consolas"/>
        </w:rPr>
        <w:t>s</w:t>
      </w:r>
      <w:r w:rsidRPr="008463ED">
        <w:rPr>
          <w:rFonts w:ascii="Consolas" w:hAnsi="Consolas" w:cs="Consolas"/>
        </w:rPr>
        <w:t>pec. IR</w:t>
      </w:r>
      <w:r w:rsidR="00532BD0">
        <w:rPr>
          <w:rFonts w:ascii="Consolas" w:hAnsi="Consolas" w:cs="Consolas"/>
        </w:rPr>
        <w:t xml:space="preserve">; </w:t>
      </w:r>
      <w:r w:rsidRPr="008463ED">
        <w:rPr>
          <w:rFonts w:ascii="Consolas" w:hAnsi="Consolas" w:cs="Consolas"/>
        </w:rPr>
        <w:t>2019-09-06</w:t>
      </w:r>
    </w:p>
    <w:p w14:paraId="4F1A4786" w14:textId="0A9AD722" w:rsidR="00532BD0" w:rsidRDefault="00532BD0" w:rsidP="00743257">
      <w:pPr>
        <w:widowControl/>
        <w:jc w:val="both"/>
        <w:rPr>
          <w:rFonts w:ascii="Consolas" w:hAnsi="Consolas" w:cs="Consolas"/>
        </w:rPr>
      </w:pPr>
    </w:p>
    <w:p w14:paraId="713BF237" w14:textId="16DCB1D1" w:rsidR="00532BD0" w:rsidRDefault="00532BD0" w:rsidP="00532BD0">
      <w:pPr>
        <w:widowControl/>
        <w:jc w:val="both"/>
        <w:rPr>
          <w:rFonts w:ascii="Consolas" w:hAnsi="Consolas" w:cs="Consolas"/>
        </w:rPr>
      </w:pPr>
      <w:r w:rsidRPr="008463ED">
        <w:rPr>
          <w:rFonts w:ascii="Consolas" w:hAnsi="Consolas" w:cs="Consolas"/>
        </w:rPr>
        <w:t>Zmiany/uzupełnienia wykonane:</w:t>
      </w:r>
      <w:r>
        <w:rPr>
          <w:rFonts w:ascii="Consolas" w:hAnsi="Consolas" w:cs="Consolas"/>
        </w:rPr>
        <w:t xml:space="preserve"> Beata Ostrowska, </w:t>
      </w:r>
      <w:proofErr w:type="spellStart"/>
      <w:r>
        <w:rPr>
          <w:rFonts w:ascii="Consolas" w:hAnsi="Consolas" w:cs="Consolas"/>
        </w:rPr>
        <w:t>czł</w:t>
      </w:r>
      <w:proofErr w:type="spellEnd"/>
      <w:r>
        <w:rPr>
          <w:rFonts w:ascii="Consolas" w:hAnsi="Consolas" w:cs="Consolas"/>
        </w:rPr>
        <w:t>. Prezydium ZG PTI, przew. Rady Sektorowej, 2019-09-06</w:t>
      </w:r>
    </w:p>
    <w:p w14:paraId="4D422CDB" w14:textId="77777777" w:rsidR="00532BD0" w:rsidRDefault="00532BD0" w:rsidP="00743257">
      <w:pPr>
        <w:widowControl/>
        <w:jc w:val="both"/>
        <w:rPr>
          <w:rFonts w:ascii="Consolas" w:hAnsi="Consolas" w:cs="Consolas"/>
        </w:rPr>
      </w:pPr>
    </w:p>
    <w:p w14:paraId="24EB0E52" w14:textId="4C58ED77" w:rsidR="001B6B9A" w:rsidRPr="008463ED" w:rsidRDefault="001B6B9A" w:rsidP="00743257">
      <w:pPr>
        <w:widowControl/>
        <w:jc w:val="both"/>
        <w:rPr>
          <w:rFonts w:ascii="Consolas" w:hAnsi="Consolas" w:cs="Consolas"/>
        </w:rPr>
      </w:pPr>
      <w:r w:rsidRPr="008463ED">
        <w:rPr>
          <w:rFonts w:ascii="Consolas" w:hAnsi="Consolas" w:cs="Consolas"/>
        </w:rPr>
        <w:t>Zmiany/uzupełnienia wykonane: Krystyna Kamińska DG</w:t>
      </w:r>
      <w:r w:rsidR="00532BD0">
        <w:rPr>
          <w:rFonts w:ascii="Consolas" w:hAnsi="Consolas" w:cs="Consolas"/>
        </w:rPr>
        <w:t>;</w:t>
      </w:r>
      <w:r w:rsidR="002E51E8" w:rsidRPr="008463ED">
        <w:rPr>
          <w:rFonts w:ascii="Consolas" w:hAnsi="Consolas" w:cs="Consolas"/>
        </w:rPr>
        <w:t xml:space="preserve"> 2019-09-06</w:t>
      </w:r>
    </w:p>
    <w:sectPr w:rsidR="001B6B9A" w:rsidRPr="008463ED" w:rsidSect="00B255A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E223" w14:textId="77777777" w:rsidR="007011BB" w:rsidRDefault="007011BB" w:rsidP="00C8765E">
      <w:r>
        <w:separator/>
      </w:r>
    </w:p>
  </w:endnote>
  <w:endnote w:type="continuationSeparator" w:id="0">
    <w:p w14:paraId="31B09819" w14:textId="77777777" w:rsidR="007011BB" w:rsidRDefault="007011BB" w:rsidP="00C8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Arial"/>
    <w:charset w:val="EE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381C6" w14:textId="7DDEC39F" w:rsidR="00C8765E" w:rsidRDefault="00C8765E" w:rsidP="00C8765E">
    <w:pPr>
      <w:pStyle w:val="Stopka"/>
      <w:tabs>
        <w:tab w:val="clear" w:pos="4536"/>
        <w:tab w:val="clear" w:pos="9072"/>
        <w:tab w:val="center" w:pos="7088"/>
        <w:tab w:val="right" w:pos="14004"/>
      </w:tabs>
    </w:pPr>
    <w:r>
      <w:t>Plik</w:t>
    </w:r>
    <w:r w:rsidRPr="00C8765E">
      <w:rPr>
        <w:i/>
      </w:rPr>
      <w:t xml:space="preserve"> </w:t>
    </w:r>
    <w:r w:rsidRPr="00C8765E">
      <w:rPr>
        <w:i/>
      </w:rPr>
      <w:fldChar w:fldCharType="begin"/>
    </w:r>
    <w:r w:rsidRPr="00C8765E">
      <w:rPr>
        <w:i/>
      </w:rPr>
      <w:instrText xml:space="preserve"> FILENAME   \* MERGEFORMAT </w:instrText>
    </w:r>
    <w:r w:rsidRPr="00C8765E">
      <w:rPr>
        <w:i/>
      </w:rPr>
      <w:fldChar w:fldCharType="separate"/>
    </w:r>
    <w:r w:rsidR="00737E63">
      <w:rPr>
        <w:i/>
        <w:noProof/>
      </w:rPr>
      <w:t>Kierunki strategiczne - realizacja w3.docx</w:t>
    </w:r>
    <w:r w:rsidRPr="00C8765E">
      <w:rPr>
        <w:i/>
      </w:rPr>
      <w:fldChar w:fldCharType="end"/>
    </w:r>
    <w:r>
      <w:tab/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765832">
      <w:rPr>
        <w:noProof/>
      </w:rPr>
      <w:t>2</w:t>
    </w:r>
    <w:r>
      <w:fldChar w:fldCharType="end"/>
    </w:r>
    <w:r w:rsidRPr="00C8765E">
      <w:rPr>
        <w:i/>
        <w:sz w:val="16"/>
        <w:szCs w:val="16"/>
      </w:rPr>
      <w:t xml:space="preserve"> z </w:t>
    </w:r>
    <w:r w:rsidRPr="00C8765E">
      <w:rPr>
        <w:i/>
        <w:sz w:val="16"/>
        <w:szCs w:val="16"/>
      </w:rPr>
      <w:fldChar w:fldCharType="begin"/>
    </w:r>
    <w:r w:rsidRPr="00C8765E">
      <w:rPr>
        <w:i/>
        <w:sz w:val="16"/>
        <w:szCs w:val="16"/>
      </w:rPr>
      <w:instrText xml:space="preserve"> NUMPAGES   \* MERGEFORMAT </w:instrText>
    </w:r>
    <w:r w:rsidRPr="00C8765E">
      <w:rPr>
        <w:i/>
        <w:sz w:val="16"/>
        <w:szCs w:val="16"/>
      </w:rPr>
      <w:fldChar w:fldCharType="separate"/>
    </w:r>
    <w:r w:rsidR="00765832">
      <w:rPr>
        <w:i/>
        <w:noProof/>
        <w:sz w:val="16"/>
        <w:szCs w:val="16"/>
      </w:rPr>
      <w:t>8</w:t>
    </w:r>
    <w:r w:rsidRPr="00C8765E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17EE" w14:textId="77777777" w:rsidR="007011BB" w:rsidRDefault="007011BB" w:rsidP="00C8765E">
      <w:r>
        <w:separator/>
      </w:r>
    </w:p>
  </w:footnote>
  <w:footnote w:type="continuationSeparator" w:id="0">
    <w:p w14:paraId="2C9F1D5A" w14:textId="77777777" w:rsidR="007011BB" w:rsidRDefault="007011BB" w:rsidP="00C8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2F"/>
    <w:multiLevelType w:val="hybridMultilevel"/>
    <w:tmpl w:val="05D05476"/>
    <w:lvl w:ilvl="0" w:tplc="03B8E208"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5A1"/>
    <w:multiLevelType w:val="hybridMultilevel"/>
    <w:tmpl w:val="5AD40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A4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0D0409D4"/>
    <w:multiLevelType w:val="hybridMultilevel"/>
    <w:tmpl w:val="9440C6FE"/>
    <w:lvl w:ilvl="0" w:tplc="AE62827E">
      <w:start w:val="1"/>
      <w:numFmt w:val="decimal"/>
      <w:lvlText w:val="K-I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55BE"/>
    <w:multiLevelType w:val="hybridMultilevel"/>
    <w:tmpl w:val="1B420990"/>
    <w:lvl w:ilvl="0" w:tplc="77963F2E">
      <w:start w:val="1"/>
      <w:numFmt w:val="lowerLetter"/>
      <w:lvlText w:val="2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A62"/>
    <w:multiLevelType w:val="hybridMultilevel"/>
    <w:tmpl w:val="AEE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7431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3BA1"/>
    <w:multiLevelType w:val="multilevel"/>
    <w:tmpl w:val="F342AF28"/>
    <w:lvl w:ilvl="0">
      <w:start w:val="1"/>
      <w:numFmt w:val="lowerLetter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B5A52D8"/>
    <w:multiLevelType w:val="hybridMultilevel"/>
    <w:tmpl w:val="D25C9CB0"/>
    <w:lvl w:ilvl="0" w:tplc="2AAA24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D817AA"/>
    <w:multiLevelType w:val="hybridMultilevel"/>
    <w:tmpl w:val="1F64A59E"/>
    <w:lvl w:ilvl="0" w:tplc="5BD698BE">
      <w:numFmt w:val="decimal"/>
      <w:lvlText w:val="K-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6491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53772"/>
    <w:multiLevelType w:val="hybridMultilevel"/>
    <w:tmpl w:val="ADAAFFBA"/>
    <w:lvl w:ilvl="0" w:tplc="019CFAA8">
      <w:numFmt w:val="decimal"/>
      <w:lvlText w:val="K-I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27C"/>
    <w:multiLevelType w:val="hybridMultilevel"/>
    <w:tmpl w:val="474ED656"/>
    <w:lvl w:ilvl="0" w:tplc="5F467DCE">
      <w:start w:val="1"/>
      <w:numFmt w:val="decimal"/>
      <w:pStyle w:val="Numerowany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3E56"/>
    <w:multiLevelType w:val="hybridMultilevel"/>
    <w:tmpl w:val="6F2EC468"/>
    <w:lvl w:ilvl="0" w:tplc="E040B18A">
      <w:numFmt w:val="decimal"/>
      <w:lvlText w:val="K-V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2521"/>
    <w:multiLevelType w:val="hybridMultilevel"/>
    <w:tmpl w:val="58EA6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356D5"/>
    <w:multiLevelType w:val="hybridMultilevel"/>
    <w:tmpl w:val="B4A25E8A"/>
    <w:lvl w:ilvl="0" w:tplc="5EFEA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190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C210AE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0AAD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187C75"/>
    <w:multiLevelType w:val="hybridMultilevel"/>
    <w:tmpl w:val="00E8058E"/>
    <w:lvl w:ilvl="0" w:tplc="874CF9CE">
      <w:numFmt w:val="decimal"/>
      <w:lvlText w:val="K-II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71301"/>
    <w:multiLevelType w:val="hybridMultilevel"/>
    <w:tmpl w:val="03E8386A"/>
    <w:lvl w:ilvl="0" w:tplc="2D5EC812">
      <w:numFmt w:val="decimal"/>
      <w:lvlText w:val="K-IV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04F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B017CA"/>
    <w:multiLevelType w:val="hybridMultilevel"/>
    <w:tmpl w:val="AD80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643D3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B70A0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A0A76"/>
    <w:multiLevelType w:val="hybridMultilevel"/>
    <w:tmpl w:val="29B6A410"/>
    <w:lvl w:ilvl="0" w:tplc="762C00AC">
      <w:numFmt w:val="decimal"/>
      <w:lvlText w:val="K-V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57D6B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7E60E3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B2852"/>
    <w:multiLevelType w:val="hybridMultilevel"/>
    <w:tmpl w:val="816C7896"/>
    <w:lvl w:ilvl="0" w:tplc="44B8D888">
      <w:start w:val="1"/>
      <w:numFmt w:val="lowerLetter"/>
      <w:lvlText w:val="1.%1.0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28"/>
  </w:num>
  <w:num w:numId="9">
    <w:abstractNumId w:val="7"/>
  </w:num>
  <w:num w:numId="10">
    <w:abstractNumId w:val="4"/>
  </w:num>
  <w:num w:numId="11">
    <w:abstractNumId w:val="26"/>
  </w:num>
  <w:num w:numId="12">
    <w:abstractNumId w:val="18"/>
  </w:num>
  <w:num w:numId="13">
    <w:abstractNumId w:val="3"/>
  </w:num>
  <w:num w:numId="14">
    <w:abstractNumId w:val="9"/>
  </w:num>
  <w:num w:numId="15">
    <w:abstractNumId w:val="27"/>
  </w:num>
  <w:num w:numId="16">
    <w:abstractNumId w:val="2"/>
  </w:num>
  <w:num w:numId="17">
    <w:abstractNumId w:val="11"/>
  </w:num>
  <w:num w:numId="18">
    <w:abstractNumId w:val="0"/>
  </w:num>
  <w:num w:numId="19">
    <w:abstractNumId w:val="15"/>
  </w:num>
  <w:num w:numId="20">
    <w:abstractNumId w:val="17"/>
  </w:num>
  <w:num w:numId="21">
    <w:abstractNumId w:val="19"/>
  </w:num>
  <w:num w:numId="22">
    <w:abstractNumId w:val="24"/>
  </w:num>
  <w:num w:numId="23">
    <w:abstractNumId w:val="10"/>
  </w:num>
  <w:num w:numId="24">
    <w:abstractNumId w:val="23"/>
  </w:num>
  <w:num w:numId="25">
    <w:abstractNumId w:val="14"/>
  </w:num>
  <w:num w:numId="26">
    <w:abstractNumId w:val="6"/>
  </w:num>
  <w:num w:numId="27">
    <w:abstractNumId w:val="20"/>
  </w:num>
  <w:num w:numId="28">
    <w:abstractNumId w:val="13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46"/>
    <w:rsid w:val="00015B7F"/>
    <w:rsid w:val="0001786A"/>
    <w:rsid w:val="000238DB"/>
    <w:rsid w:val="000400CF"/>
    <w:rsid w:val="00072B78"/>
    <w:rsid w:val="00092D69"/>
    <w:rsid w:val="000C3218"/>
    <w:rsid w:val="000F404E"/>
    <w:rsid w:val="00106A48"/>
    <w:rsid w:val="001455D4"/>
    <w:rsid w:val="00166611"/>
    <w:rsid w:val="0017401B"/>
    <w:rsid w:val="00196A22"/>
    <w:rsid w:val="001A0DF9"/>
    <w:rsid w:val="001B3227"/>
    <w:rsid w:val="001B6B9A"/>
    <w:rsid w:val="001C6E22"/>
    <w:rsid w:val="002549D7"/>
    <w:rsid w:val="002940AC"/>
    <w:rsid w:val="002E51E8"/>
    <w:rsid w:val="0033076D"/>
    <w:rsid w:val="00355027"/>
    <w:rsid w:val="0035664E"/>
    <w:rsid w:val="00371BC4"/>
    <w:rsid w:val="003858F8"/>
    <w:rsid w:val="003E4BCB"/>
    <w:rsid w:val="00426B7F"/>
    <w:rsid w:val="00434146"/>
    <w:rsid w:val="004732D6"/>
    <w:rsid w:val="005272C4"/>
    <w:rsid w:val="00532BD0"/>
    <w:rsid w:val="0053546A"/>
    <w:rsid w:val="00586E19"/>
    <w:rsid w:val="00645A70"/>
    <w:rsid w:val="00664651"/>
    <w:rsid w:val="006E16A5"/>
    <w:rsid w:val="006E5189"/>
    <w:rsid w:val="007011BB"/>
    <w:rsid w:val="007203A7"/>
    <w:rsid w:val="00730ADB"/>
    <w:rsid w:val="00737E63"/>
    <w:rsid w:val="00743257"/>
    <w:rsid w:val="00765832"/>
    <w:rsid w:val="00783D76"/>
    <w:rsid w:val="007C6D30"/>
    <w:rsid w:val="007D03C2"/>
    <w:rsid w:val="008463ED"/>
    <w:rsid w:val="00857F85"/>
    <w:rsid w:val="009044E4"/>
    <w:rsid w:val="00926900"/>
    <w:rsid w:val="0093232E"/>
    <w:rsid w:val="009325A2"/>
    <w:rsid w:val="00960C2C"/>
    <w:rsid w:val="009863A7"/>
    <w:rsid w:val="009D28AA"/>
    <w:rsid w:val="00A11F90"/>
    <w:rsid w:val="00A1275D"/>
    <w:rsid w:val="00A205CE"/>
    <w:rsid w:val="00A245CA"/>
    <w:rsid w:val="00A247D7"/>
    <w:rsid w:val="00A54860"/>
    <w:rsid w:val="00A81D95"/>
    <w:rsid w:val="00AC62D6"/>
    <w:rsid w:val="00AD034D"/>
    <w:rsid w:val="00AE5E07"/>
    <w:rsid w:val="00B1216F"/>
    <w:rsid w:val="00B16E49"/>
    <w:rsid w:val="00B254C3"/>
    <w:rsid w:val="00B255AB"/>
    <w:rsid w:val="00B50E0B"/>
    <w:rsid w:val="00B64475"/>
    <w:rsid w:val="00BA3661"/>
    <w:rsid w:val="00C25E7F"/>
    <w:rsid w:val="00C307E2"/>
    <w:rsid w:val="00C44669"/>
    <w:rsid w:val="00C570BF"/>
    <w:rsid w:val="00C73F81"/>
    <w:rsid w:val="00C8765E"/>
    <w:rsid w:val="00CA24A7"/>
    <w:rsid w:val="00CD6244"/>
    <w:rsid w:val="00D003BB"/>
    <w:rsid w:val="00D00480"/>
    <w:rsid w:val="00D126C0"/>
    <w:rsid w:val="00D4694D"/>
    <w:rsid w:val="00D510EC"/>
    <w:rsid w:val="00D942C4"/>
    <w:rsid w:val="00DB17F4"/>
    <w:rsid w:val="00DF6A7D"/>
    <w:rsid w:val="00E06C11"/>
    <w:rsid w:val="00E35626"/>
    <w:rsid w:val="00E35F93"/>
    <w:rsid w:val="00E37AB2"/>
    <w:rsid w:val="00E41FD9"/>
    <w:rsid w:val="00E7419E"/>
    <w:rsid w:val="00E8694E"/>
    <w:rsid w:val="00EE1E8F"/>
    <w:rsid w:val="00F10828"/>
    <w:rsid w:val="00F23A13"/>
    <w:rsid w:val="00F247CF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D947"/>
  <w15:docId w15:val="{B3DFE768-D28F-45B4-99DD-3CE73F56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41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y">
    <w:name w:val="Numerowany"/>
    <w:basedOn w:val="Normalny"/>
    <w:qFormat/>
    <w:rsid w:val="00434146"/>
    <w:pPr>
      <w:numPr>
        <w:numId w:val="1"/>
      </w:numPr>
      <w:spacing w:before="60"/>
      <w:jc w:val="both"/>
    </w:pPr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rsid w:val="0043414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7C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1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1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A81D95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A7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A70"/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2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2D6"/>
    <w:rPr>
      <w:rFonts w:ascii="Times New Roman Normalny" w:eastAsia="Times New Roman" w:hAnsi="Times New Roman Normalny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7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65E"/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65E"/>
    <w:rPr>
      <w:rFonts w:ascii="Times New Roman Normalny" w:eastAsia="Times New Roman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2422</Words>
  <Characters>14534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Dorożyński</dc:creator>
  <cp:lastModifiedBy>Janusz Dorożyński</cp:lastModifiedBy>
  <cp:revision>3</cp:revision>
  <cp:lastPrinted>2019-09-05T11:41:00Z</cp:lastPrinted>
  <dcterms:created xsi:type="dcterms:W3CDTF">2019-09-12T08:20:00Z</dcterms:created>
  <dcterms:modified xsi:type="dcterms:W3CDTF">2019-09-12T12:08:00Z</dcterms:modified>
</cp:coreProperties>
</file>