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F480" w14:textId="77777777" w:rsidR="00D003BB" w:rsidRPr="008463ED" w:rsidRDefault="00D003BB" w:rsidP="00743257">
      <w:pPr>
        <w:widowControl/>
        <w:jc w:val="both"/>
        <w:rPr>
          <w:rFonts w:ascii="Consolas" w:hAnsi="Consolas" w:cs="Arial"/>
        </w:rPr>
      </w:pPr>
    </w:p>
    <w:p w14:paraId="57957A23" w14:textId="77777777" w:rsidR="00D003BB" w:rsidRPr="008463ED" w:rsidRDefault="00D003BB" w:rsidP="00B255AB">
      <w:pPr>
        <w:widowControl/>
        <w:jc w:val="both"/>
        <w:rPr>
          <w:rFonts w:ascii="Consolas" w:hAnsi="Consolas" w:cs="Arial"/>
        </w:rPr>
      </w:pPr>
    </w:p>
    <w:p w14:paraId="1C7B6DEE" w14:textId="77777777" w:rsidR="00D003BB" w:rsidRPr="008463ED" w:rsidRDefault="00D942C4" w:rsidP="00D126C0">
      <w:pPr>
        <w:widowControl/>
        <w:jc w:val="center"/>
        <w:rPr>
          <w:rFonts w:ascii="Consolas" w:hAnsi="Consolas" w:cs="Arial"/>
          <w:b/>
          <w:sz w:val="24"/>
          <w:szCs w:val="24"/>
        </w:rPr>
      </w:pPr>
      <w:r w:rsidRPr="008463ED">
        <w:rPr>
          <w:rFonts w:ascii="Consolas" w:hAnsi="Consolas" w:cs="Arial"/>
          <w:b/>
          <w:sz w:val="24"/>
          <w:szCs w:val="24"/>
        </w:rPr>
        <w:t>Kierunku strategiczne wg strategii 2015-2020</w:t>
      </w:r>
      <w:r w:rsidR="00D126C0" w:rsidRPr="008463ED">
        <w:rPr>
          <w:rFonts w:ascii="Consolas" w:hAnsi="Consolas" w:cs="Arial"/>
          <w:b/>
          <w:sz w:val="24"/>
          <w:szCs w:val="24"/>
        </w:rPr>
        <w:t xml:space="preserve"> – robocze zestawienie realizacyjne</w:t>
      </w:r>
    </w:p>
    <w:p w14:paraId="4634F570" w14:textId="3C189435" w:rsidR="00D126C0" w:rsidRPr="008463ED" w:rsidRDefault="00C8765E" w:rsidP="00D126C0">
      <w:pPr>
        <w:widowControl/>
        <w:jc w:val="center"/>
        <w:rPr>
          <w:rFonts w:ascii="Consolas" w:hAnsi="Consolas" w:cs="Arial"/>
          <w:b/>
          <w:sz w:val="24"/>
          <w:szCs w:val="24"/>
        </w:rPr>
      </w:pPr>
      <w:r w:rsidRPr="008463ED">
        <w:rPr>
          <w:rFonts w:ascii="Consolas" w:hAnsi="Consolas" w:cs="Arial"/>
          <w:b/>
          <w:sz w:val="24"/>
          <w:szCs w:val="24"/>
        </w:rPr>
        <w:t>W</w:t>
      </w:r>
      <w:r>
        <w:rPr>
          <w:rFonts w:ascii="Consolas" w:hAnsi="Consolas" w:cs="Arial"/>
          <w:b/>
          <w:sz w:val="24"/>
          <w:szCs w:val="24"/>
        </w:rPr>
        <w:t>2</w:t>
      </w:r>
    </w:p>
    <w:p w14:paraId="78B8A971" w14:textId="77777777" w:rsidR="006E16A5" w:rsidRPr="008463ED" w:rsidRDefault="006E16A5" w:rsidP="00743257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218"/>
        <w:gridCol w:w="6343"/>
        <w:gridCol w:w="6012"/>
      </w:tblGrid>
      <w:tr w:rsidR="00A205CE" w:rsidRPr="008463ED" w14:paraId="4F2600F4" w14:textId="77777777" w:rsidTr="00F73F21">
        <w:trPr>
          <w:cantSplit/>
        </w:trPr>
        <w:tc>
          <w:tcPr>
            <w:tcW w:w="1218" w:type="dxa"/>
          </w:tcPr>
          <w:p w14:paraId="5F49597F" w14:textId="77777777" w:rsidR="00A205CE" w:rsidRPr="008463ED" w:rsidRDefault="00A205CE" w:rsidP="001C6E22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1BFB4A4F" w14:textId="77777777" w:rsidR="00A205CE" w:rsidRPr="008463ED" w:rsidRDefault="00A205CE" w:rsidP="00743257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„Wspólnota – członkowie, sympatycy, współpraca”</w:t>
            </w:r>
          </w:p>
        </w:tc>
        <w:tc>
          <w:tcPr>
            <w:tcW w:w="6012" w:type="dxa"/>
          </w:tcPr>
          <w:p w14:paraId="125E8521" w14:textId="77777777" w:rsidR="00A205CE" w:rsidRPr="008463ED" w:rsidRDefault="009044E4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A205CE" w:rsidRPr="008463ED" w14:paraId="469585F7" w14:textId="77777777" w:rsidTr="00F73F21">
        <w:trPr>
          <w:cantSplit/>
        </w:trPr>
        <w:tc>
          <w:tcPr>
            <w:tcW w:w="1218" w:type="dxa"/>
          </w:tcPr>
          <w:p w14:paraId="7FFF72CB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05E3D401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Organizacja spotkań, konferencji, seminariów, debat promujących innowacyjność i nowości, integrujących środowisko, w tym np. nowej centralnej członkowskiej konferencji merytoryczno-integracyjnej PTI.</w:t>
            </w:r>
          </w:p>
        </w:tc>
        <w:tc>
          <w:tcPr>
            <w:tcW w:w="6012" w:type="dxa"/>
          </w:tcPr>
          <w:p w14:paraId="1048E064" w14:textId="77777777" w:rsidR="00A205CE" w:rsidRPr="008463ED" w:rsidRDefault="00426B7F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Są organizowane, np. w trakcie ŚDSI, obchodów 70-lecia Polskiej Informatyki,</w:t>
            </w:r>
            <w:r w:rsidR="00AC62D6" w:rsidRPr="008463ED">
              <w:rPr>
                <w:rFonts w:ascii="Consolas" w:hAnsi="Consolas"/>
              </w:rPr>
              <w:t xml:space="preserve"> lub jako imprezy integracyjne MNI,IT CUP</w:t>
            </w:r>
            <w:r w:rsidRPr="008463ED">
              <w:rPr>
                <w:rFonts w:ascii="Consolas" w:hAnsi="Consolas"/>
              </w:rPr>
              <w:t xml:space="preserve"> itd.</w:t>
            </w:r>
          </w:p>
          <w:p w14:paraId="56D50E61" w14:textId="77777777" w:rsidR="00426B7F" w:rsidRPr="008463ED" w:rsidRDefault="00426B7F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Nie podjęto kwestii nowej centralnej członkowskiej konferencji merytoryczno-integracyjnej PTI.</w:t>
            </w:r>
          </w:p>
        </w:tc>
      </w:tr>
      <w:tr w:rsidR="00A205CE" w:rsidRPr="008463ED" w14:paraId="64A6C770" w14:textId="77777777" w:rsidTr="00F73F21">
        <w:trPr>
          <w:cantSplit/>
        </w:trPr>
        <w:tc>
          <w:tcPr>
            <w:tcW w:w="1218" w:type="dxa"/>
          </w:tcPr>
          <w:p w14:paraId="71412FB1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6CCF86C5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Kontynuowanie i doskonalenie Biuletynu PTI.</w:t>
            </w:r>
          </w:p>
        </w:tc>
        <w:tc>
          <w:tcPr>
            <w:tcW w:w="6012" w:type="dxa"/>
          </w:tcPr>
          <w:p w14:paraId="70721BF0" w14:textId="77777777" w:rsidR="00A205CE" w:rsidRPr="008463ED" w:rsidRDefault="00355027" w:rsidP="0035502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Realizowane z sukcesem</w:t>
            </w:r>
          </w:p>
        </w:tc>
      </w:tr>
      <w:tr w:rsidR="00A205CE" w:rsidRPr="008463ED" w14:paraId="24E699C9" w14:textId="77777777" w:rsidTr="00F73F21">
        <w:trPr>
          <w:cantSplit/>
        </w:trPr>
        <w:tc>
          <w:tcPr>
            <w:tcW w:w="1218" w:type="dxa"/>
          </w:tcPr>
          <w:p w14:paraId="6D3DFA43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7DB6CFBA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Unowocześnienie i systematyczne doskonalenie portalu informacyjnego towarzystwa.</w:t>
            </w:r>
          </w:p>
        </w:tc>
        <w:tc>
          <w:tcPr>
            <w:tcW w:w="6012" w:type="dxa"/>
          </w:tcPr>
          <w:p w14:paraId="694C0848" w14:textId="77777777" w:rsidR="00A205CE" w:rsidRPr="008463ED" w:rsidRDefault="00355027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Realizowane z sukcesem</w:t>
            </w:r>
          </w:p>
        </w:tc>
      </w:tr>
      <w:tr w:rsidR="00A205CE" w:rsidRPr="008463ED" w14:paraId="456CEADD" w14:textId="77777777" w:rsidTr="00F73F21">
        <w:trPr>
          <w:cantSplit/>
        </w:trPr>
        <w:tc>
          <w:tcPr>
            <w:tcW w:w="1218" w:type="dxa"/>
          </w:tcPr>
          <w:p w14:paraId="3DA66F83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3510D6F9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Organizacja konkursów dla członków w zakresie istotnych zadań i prac szczególnie ważnych dla PTI z przyznawaniem wyróżnień i nagród.</w:t>
            </w:r>
          </w:p>
        </w:tc>
        <w:tc>
          <w:tcPr>
            <w:tcW w:w="6012" w:type="dxa"/>
          </w:tcPr>
          <w:p w14:paraId="6213D4E3" w14:textId="77777777" w:rsidR="00A205CE" w:rsidRPr="008463ED" w:rsidRDefault="00355027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Konkursy dla członków nie są organizowane.</w:t>
            </w:r>
          </w:p>
          <w:p w14:paraId="2DDAFEC7" w14:textId="77777777" w:rsidR="00355027" w:rsidRPr="008463ED" w:rsidRDefault="00355027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Nagrody i wyróżnienia są przyznawane, jak medal 70-lecia oraz odznaki PTI</w:t>
            </w:r>
            <w:r w:rsidR="0035664E" w:rsidRPr="008463ED">
              <w:rPr>
                <w:rFonts w:ascii="Consolas" w:hAnsi="Consolas"/>
              </w:rPr>
              <w:t>, choć są głosy o b. ograniczonym zakresie tych wyróżnień i zbytniej centralizacji</w:t>
            </w:r>
          </w:p>
        </w:tc>
      </w:tr>
      <w:tr w:rsidR="00A205CE" w:rsidRPr="008463ED" w14:paraId="26000FAA" w14:textId="77777777" w:rsidTr="00F73F21">
        <w:trPr>
          <w:cantSplit/>
        </w:trPr>
        <w:tc>
          <w:tcPr>
            <w:tcW w:w="1218" w:type="dxa"/>
          </w:tcPr>
          <w:p w14:paraId="7E7B0091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FD1A42D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Przedsięwzięcia badawczo-naukowe, konferencje, seminaria i publikacje, w tym konkursy wydawnicze.</w:t>
            </w:r>
          </w:p>
        </w:tc>
        <w:tc>
          <w:tcPr>
            <w:tcW w:w="6012" w:type="dxa"/>
          </w:tcPr>
          <w:p w14:paraId="38942299" w14:textId="77777777" w:rsidR="00A205CE" w:rsidRPr="008463ED" w:rsidRDefault="0035664E" w:rsidP="003566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Głównie są organizowane konferencje. Jest konkurs Rady Naukowej na wybitną książkę informatyczną.</w:t>
            </w:r>
          </w:p>
        </w:tc>
      </w:tr>
      <w:tr w:rsidR="00A205CE" w:rsidRPr="008463ED" w14:paraId="147AA96C" w14:textId="77777777" w:rsidTr="00F73F21">
        <w:trPr>
          <w:cantSplit/>
        </w:trPr>
        <w:tc>
          <w:tcPr>
            <w:tcW w:w="1218" w:type="dxa"/>
          </w:tcPr>
          <w:p w14:paraId="6B65BC8E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38FF7E96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Stworzenie systemu dofinansowania uczestnictwa członków PTI w konferencjach i innych projektach organizowanych przez PTI.</w:t>
            </w:r>
          </w:p>
        </w:tc>
        <w:tc>
          <w:tcPr>
            <w:tcW w:w="6012" w:type="dxa"/>
          </w:tcPr>
          <w:p w14:paraId="3CA802A8" w14:textId="77777777" w:rsidR="00A205CE" w:rsidRPr="008463ED" w:rsidRDefault="00AD034D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A205CE" w:rsidRPr="008463ED" w14:paraId="14DE2B57" w14:textId="77777777" w:rsidTr="00F73F21">
        <w:trPr>
          <w:cantSplit/>
        </w:trPr>
        <w:tc>
          <w:tcPr>
            <w:tcW w:w="1218" w:type="dxa"/>
          </w:tcPr>
          <w:p w14:paraId="40C2452A" w14:textId="77777777" w:rsidR="00A205CE" w:rsidRPr="008463ED" w:rsidRDefault="00A205CE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77E4272F" w14:textId="77777777" w:rsidR="00A205CE" w:rsidRPr="008463ED" w:rsidRDefault="00A205CE" w:rsidP="00D469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Organizacja wykładów otwartych i konferencji otwartych dla członków PTI oraz uczestników spoza PTI. </w:t>
            </w:r>
          </w:p>
        </w:tc>
        <w:tc>
          <w:tcPr>
            <w:tcW w:w="6012" w:type="dxa"/>
          </w:tcPr>
          <w:p w14:paraId="06C0287E" w14:textId="77777777" w:rsidR="00A205CE" w:rsidRPr="008463ED" w:rsidRDefault="00AD034D" w:rsidP="00426B7F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Są organizowane, najbardziej znane są tego typu przedsięwzięcia w ramach Klubu Informatyka O/</w:t>
            </w:r>
            <w:proofErr w:type="spellStart"/>
            <w:r w:rsidRPr="008463ED">
              <w:rPr>
                <w:rFonts w:ascii="Consolas" w:hAnsi="Consolas"/>
              </w:rPr>
              <w:t>Maz</w:t>
            </w:r>
            <w:proofErr w:type="spellEnd"/>
            <w:r w:rsidRPr="008463ED">
              <w:rPr>
                <w:rFonts w:ascii="Consolas" w:hAnsi="Consolas"/>
              </w:rPr>
              <w:t>.</w:t>
            </w:r>
          </w:p>
        </w:tc>
      </w:tr>
      <w:tr w:rsidR="00AD034D" w:rsidRPr="008463ED" w14:paraId="2D8D1952" w14:textId="77777777" w:rsidTr="00F73F21">
        <w:trPr>
          <w:cantSplit/>
        </w:trPr>
        <w:tc>
          <w:tcPr>
            <w:tcW w:w="1218" w:type="dxa"/>
          </w:tcPr>
          <w:p w14:paraId="2A31599C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2478792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Opracowanie kampanii promującej członkostwo dla środowiska nauki, biznesu i administracji. </w:t>
            </w:r>
          </w:p>
        </w:tc>
        <w:tc>
          <w:tcPr>
            <w:tcW w:w="6012" w:type="dxa"/>
          </w:tcPr>
          <w:p w14:paraId="4D28B3F8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AD034D" w:rsidRPr="008463ED" w14:paraId="45E1EBAB" w14:textId="77777777" w:rsidTr="00F73F21">
        <w:trPr>
          <w:cantSplit/>
        </w:trPr>
        <w:tc>
          <w:tcPr>
            <w:tcW w:w="1218" w:type="dxa"/>
          </w:tcPr>
          <w:p w14:paraId="19112BAB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2C50089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Opracowanie kampanii promocyjnej o PTI dla osób pretendujących do zawodu informatyka. </w:t>
            </w:r>
          </w:p>
        </w:tc>
        <w:tc>
          <w:tcPr>
            <w:tcW w:w="6012" w:type="dxa"/>
          </w:tcPr>
          <w:p w14:paraId="1AB25134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E4BCB" w:rsidRPr="008463ED" w14:paraId="18BBA5EB" w14:textId="77777777" w:rsidTr="00F73F21">
        <w:trPr>
          <w:cantSplit/>
        </w:trPr>
        <w:tc>
          <w:tcPr>
            <w:tcW w:w="1218" w:type="dxa"/>
          </w:tcPr>
          <w:p w14:paraId="071AC64F" w14:textId="77777777" w:rsidR="003E4BCB" w:rsidRPr="008463ED" w:rsidRDefault="003E4BCB" w:rsidP="003E4BCB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2936673E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Promowanie nagród i wyróżnień przyznawanych przez PTI.</w:t>
            </w:r>
          </w:p>
        </w:tc>
        <w:tc>
          <w:tcPr>
            <w:tcW w:w="6012" w:type="dxa"/>
          </w:tcPr>
          <w:p w14:paraId="27238540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AD034D" w:rsidRPr="008463ED" w14:paraId="16DB919B" w14:textId="77777777" w:rsidTr="00F73F21">
        <w:trPr>
          <w:cantSplit/>
        </w:trPr>
        <w:tc>
          <w:tcPr>
            <w:tcW w:w="1218" w:type="dxa"/>
          </w:tcPr>
          <w:p w14:paraId="71D8EEA7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2A48650B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Cykliczny, co najmniej coroczny, przegląd członkowskich jednostek organizacyjnych Towarzystwa.</w:t>
            </w:r>
          </w:p>
        </w:tc>
        <w:tc>
          <w:tcPr>
            <w:tcW w:w="6012" w:type="dxa"/>
          </w:tcPr>
          <w:p w14:paraId="365931E3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AD034D" w:rsidRPr="008463ED" w14:paraId="2AD70751" w14:textId="77777777" w:rsidTr="00F73F21">
        <w:trPr>
          <w:cantSplit/>
        </w:trPr>
        <w:tc>
          <w:tcPr>
            <w:tcW w:w="1218" w:type="dxa"/>
          </w:tcPr>
          <w:p w14:paraId="006DAD5F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0AA0C29F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Udział w komisjach i kapitułach nagród informatycznych. </w:t>
            </w:r>
          </w:p>
        </w:tc>
        <w:tc>
          <w:tcPr>
            <w:tcW w:w="6012" w:type="dxa"/>
          </w:tcPr>
          <w:p w14:paraId="54570E93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Udział występuję, najbardziej znany jest udział w kapitule nagrody im. Lipskiego</w:t>
            </w:r>
          </w:p>
        </w:tc>
      </w:tr>
      <w:tr w:rsidR="00AD034D" w:rsidRPr="008463ED" w14:paraId="3A2C66DD" w14:textId="77777777" w:rsidTr="00F73F21">
        <w:trPr>
          <w:cantSplit/>
        </w:trPr>
        <w:tc>
          <w:tcPr>
            <w:tcW w:w="1218" w:type="dxa"/>
          </w:tcPr>
          <w:p w14:paraId="16406B6C" w14:textId="77777777" w:rsidR="00AD034D" w:rsidRPr="008463ED" w:rsidRDefault="00AD034D" w:rsidP="00AD034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4065BC2A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dziedzinowa z:</w:t>
            </w:r>
          </w:p>
        </w:tc>
        <w:tc>
          <w:tcPr>
            <w:tcW w:w="6012" w:type="dxa"/>
          </w:tcPr>
          <w:p w14:paraId="19F07E5D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</w:p>
        </w:tc>
      </w:tr>
      <w:tr w:rsidR="00AD034D" w:rsidRPr="008463ED" w14:paraId="3AB54797" w14:textId="77777777" w:rsidTr="00F73F21">
        <w:trPr>
          <w:cantSplit/>
        </w:trPr>
        <w:tc>
          <w:tcPr>
            <w:tcW w:w="1218" w:type="dxa"/>
          </w:tcPr>
          <w:p w14:paraId="54730526" w14:textId="77777777" w:rsidR="00AD034D" w:rsidRPr="008463ED" w:rsidRDefault="00AD034D" w:rsidP="00AD034D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 w:rsidRPr="008463ED">
              <w:rPr>
                <w:rFonts w:ascii="Consolas" w:hAnsi="Consolas" w:cs="Arial"/>
              </w:rPr>
              <w:t>K-I.13.1</w:t>
            </w:r>
          </w:p>
        </w:tc>
        <w:tc>
          <w:tcPr>
            <w:tcW w:w="6343" w:type="dxa"/>
          </w:tcPr>
          <w:p w14:paraId="5B996CFA" w14:textId="77777777" w:rsidR="00AD034D" w:rsidRPr="008463ED" w:rsidRDefault="00AD034D" w:rsidP="00AD034D">
            <w:pPr>
              <w:widowControl/>
              <w:autoSpaceDE/>
              <w:autoSpaceDN/>
              <w:adjustRightInd/>
              <w:spacing w:after="60"/>
              <w:ind w:left="93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innymi organizacjami związanymi z informatyką, w tym IEEE, CEPIS, Fundacji ECDL, EUCIP,</w:t>
            </w:r>
          </w:p>
        </w:tc>
        <w:tc>
          <w:tcPr>
            <w:tcW w:w="6012" w:type="dxa"/>
          </w:tcPr>
          <w:p w14:paraId="27F69B6C" w14:textId="77777777" w:rsidR="00AD034D" w:rsidRPr="008463ED" w:rsidRDefault="003E4BCB" w:rsidP="00AD034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prowadzona.</w:t>
            </w:r>
          </w:p>
        </w:tc>
      </w:tr>
      <w:tr w:rsidR="003E4BCB" w:rsidRPr="008463ED" w14:paraId="2677C608" w14:textId="77777777" w:rsidTr="00F73F21">
        <w:trPr>
          <w:cantSplit/>
        </w:trPr>
        <w:tc>
          <w:tcPr>
            <w:tcW w:w="1218" w:type="dxa"/>
          </w:tcPr>
          <w:p w14:paraId="57883F06" w14:textId="77777777" w:rsidR="003E4BCB" w:rsidRPr="008463ED" w:rsidRDefault="003E4BCB" w:rsidP="003E4BCB">
            <w:pPr>
              <w:rPr>
                <w:rFonts w:ascii="Consolas" w:hAnsi="Consolas"/>
              </w:rPr>
            </w:pPr>
            <w:r w:rsidRPr="008463ED">
              <w:rPr>
                <w:rFonts w:ascii="Consolas" w:hAnsi="Consolas" w:cs="Arial"/>
              </w:rPr>
              <w:t>K-I.13.2</w:t>
            </w:r>
          </w:p>
        </w:tc>
        <w:tc>
          <w:tcPr>
            <w:tcW w:w="6343" w:type="dxa"/>
          </w:tcPr>
          <w:p w14:paraId="20E6BAD9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93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środowiskami informatycznymi, jak ruch wolnego i otwartego oprogramowania (</w:t>
            </w:r>
            <w:proofErr w:type="spellStart"/>
            <w:r w:rsidRPr="008463ED">
              <w:rPr>
                <w:rFonts w:ascii="Consolas" w:hAnsi="Consolas"/>
              </w:rPr>
              <w:t>WiOO</w:t>
            </w:r>
            <w:proofErr w:type="spellEnd"/>
            <w:r w:rsidRPr="008463ED">
              <w:rPr>
                <w:rFonts w:ascii="Consolas" w:hAnsi="Consolas"/>
              </w:rPr>
              <w:t>),</w:t>
            </w:r>
          </w:p>
        </w:tc>
        <w:tc>
          <w:tcPr>
            <w:tcW w:w="6012" w:type="dxa"/>
          </w:tcPr>
          <w:p w14:paraId="4E9ADF5D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E4BCB" w:rsidRPr="008463ED" w14:paraId="1C85E54D" w14:textId="77777777" w:rsidTr="00F73F21">
        <w:trPr>
          <w:cantSplit/>
          <w:trHeight w:val="904"/>
        </w:trPr>
        <w:tc>
          <w:tcPr>
            <w:tcW w:w="1218" w:type="dxa"/>
          </w:tcPr>
          <w:p w14:paraId="5BF4F32D" w14:textId="77777777" w:rsidR="003E4BCB" w:rsidRPr="008463ED" w:rsidRDefault="003E4BCB" w:rsidP="003E4BCB">
            <w:pPr>
              <w:rPr>
                <w:rFonts w:ascii="Consolas" w:hAnsi="Consolas"/>
              </w:rPr>
            </w:pPr>
            <w:r w:rsidRPr="008463ED">
              <w:rPr>
                <w:rFonts w:ascii="Consolas" w:hAnsi="Consolas" w:cs="Arial"/>
              </w:rPr>
              <w:t>K-I.13.3</w:t>
            </w:r>
          </w:p>
        </w:tc>
        <w:tc>
          <w:tcPr>
            <w:tcW w:w="6343" w:type="dxa"/>
          </w:tcPr>
          <w:p w14:paraId="5F21F01E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93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organami administracji publicznej.</w:t>
            </w:r>
          </w:p>
        </w:tc>
        <w:tc>
          <w:tcPr>
            <w:tcW w:w="6012" w:type="dxa"/>
          </w:tcPr>
          <w:p w14:paraId="138C423C" w14:textId="77777777" w:rsidR="003E4BCB" w:rsidRPr="008463ED" w:rsidRDefault="003E4BCB" w:rsidP="008463ED">
            <w:pPr>
              <w:pStyle w:val="Tekstkomentarza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Występuje, np. przy tworzeniu opinii czy ekspertyzach</w:t>
            </w:r>
            <w:r w:rsidR="00645A70" w:rsidRPr="008463ED">
              <w:rPr>
                <w:rFonts w:ascii="Consolas" w:hAnsi="Consolas"/>
              </w:rPr>
              <w:t>. Udział w grupach roboczych, konsultacjach np. związanych z przygotowywaniem konkursów w ramach programów UE w MC</w:t>
            </w:r>
          </w:p>
          <w:p w14:paraId="43C5F647" w14:textId="7C34E042" w:rsidR="008463ED" w:rsidRPr="008463ED" w:rsidRDefault="008463ED" w:rsidP="008463ED">
            <w:pPr>
              <w:pStyle w:val="Tekstkomentarza"/>
              <w:rPr>
                <w:rFonts w:ascii="Consolas" w:hAnsi="Consolas"/>
              </w:rPr>
            </w:pPr>
          </w:p>
        </w:tc>
      </w:tr>
      <w:tr w:rsidR="003E4BCB" w:rsidRPr="008463ED" w14:paraId="1147528F" w14:textId="77777777" w:rsidTr="00F73F21">
        <w:trPr>
          <w:cantSplit/>
        </w:trPr>
        <w:tc>
          <w:tcPr>
            <w:tcW w:w="1218" w:type="dxa"/>
          </w:tcPr>
          <w:p w14:paraId="57BA76D7" w14:textId="77777777" w:rsidR="003E4BCB" w:rsidRPr="008463ED" w:rsidRDefault="003E4BCB" w:rsidP="003E4BCB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276DF4F7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Podjęcie aktywnej współpracy z organizacjami pozarządowymi na rzecz wspólnego budowania społeczeństwa informacyjnego. </w:t>
            </w:r>
          </w:p>
        </w:tc>
        <w:tc>
          <w:tcPr>
            <w:tcW w:w="6012" w:type="dxa"/>
          </w:tcPr>
          <w:p w14:paraId="405B7FEC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Występuje z różnym nasileniem, np. przy okazji ŚDSI</w:t>
            </w:r>
          </w:p>
        </w:tc>
      </w:tr>
      <w:tr w:rsidR="003E4BCB" w:rsidRPr="008463ED" w14:paraId="0FB2210C" w14:textId="77777777" w:rsidTr="00F73F21">
        <w:trPr>
          <w:cantSplit/>
        </w:trPr>
        <w:tc>
          <w:tcPr>
            <w:tcW w:w="1218" w:type="dxa"/>
          </w:tcPr>
          <w:p w14:paraId="7836F8E9" w14:textId="77777777" w:rsidR="003E4BCB" w:rsidRPr="008463ED" w:rsidRDefault="003E4BCB" w:rsidP="003E4BCB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343" w:type="dxa"/>
          </w:tcPr>
          <w:p w14:paraId="6FF7EEFD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Popularyzacja polskiej informatyki na forum międzynarodowym.</w:t>
            </w:r>
          </w:p>
        </w:tc>
        <w:tc>
          <w:tcPr>
            <w:tcW w:w="6012" w:type="dxa"/>
          </w:tcPr>
          <w:p w14:paraId="159852EE" w14:textId="77777777" w:rsidR="003E4BCB" w:rsidRPr="008463ED" w:rsidRDefault="003E4BCB" w:rsidP="003E4BCB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Ostatnio działania taki podjęto w związku z konkursem </w:t>
            </w:r>
            <w:r w:rsidR="009044E4" w:rsidRPr="008463ED">
              <w:rPr>
                <w:rFonts w:ascii="Consolas" w:hAnsi="Consolas"/>
              </w:rPr>
              <w:t>MSZ „</w:t>
            </w:r>
            <w:proofErr w:type="spellStart"/>
            <w:r w:rsidR="009044E4" w:rsidRPr="008463ED">
              <w:rPr>
                <w:rFonts w:ascii="Consolas" w:hAnsi="Consolas"/>
              </w:rPr>
              <w:t>PoLAND</w:t>
            </w:r>
            <w:proofErr w:type="spellEnd"/>
            <w:r w:rsidR="009044E4" w:rsidRPr="008463ED">
              <w:rPr>
                <w:rFonts w:ascii="Consolas" w:hAnsi="Consolas"/>
              </w:rPr>
              <w:t xml:space="preserve"> of IT </w:t>
            </w:r>
            <w:proofErr w:type="spellStart"/>
            <w:r w:rsidR="009044E4" w:rsidRPr="008463ED">
              <w:rPr>
                <w:rFonts w:ascii="Consolas" w:hAnsi="Consolas"/>
              </w:rPr>
              <w:t>masters</w:t>
            </w:r>
            <w:proofErr w:type="spellEnd"/>
            <w:r w:rsidR="009044E4" w:rsidRPr="008463ED">
              <w:rPr>
                <w:rFonts w:ascii="Consolas" w:hAnsi="Consolas"/>
              </w:rPr>
              <w:t>”</w:t>
            </w:r>
          </w:p>
        </w:tc>
      </w:tr>
    </w:tbl>
    <w:p w14:paraId="3FAA7FC2" w14:textId="1B7469DF" w:rsidR="00072B78" w:rsidRDefault="00072B78" w:rsidP="009863A7">
      <w:pPr>
        <w:widowControl/>
        <w:tabs>
          <w:tab w:val="left" w:pos="1809"/>
        </w:tabs>
        <w:autoSpaceDE/>
        <w:autoSpaceDN/>
        <w:adjustRightInd/>
        <w:spacing w:after="60"/>
        <w:ind w:left="174"/>
        <w:rPr>
          <w:rFonts w:ascii="Consolas" w:hAnsi="Consolas" w:cs="Arial"/>
        </w:rPr>
      </w:pPr>
    </w:p>
    <w:p w14:paraId="5C0E3EEA" w14:textId="77777777" w:rsidR="00783D76" w:rsidRPr="008463ED" w:rsidRDefault="00783D76" w:rsidP="009863A7">
      <w:pPr>
        <w:widowControl/>
        <w:tabs>
          <w:tab w:val="left" w:pos="1809"/>
        </w:tabs>
        <w:autoSpaceDE/>
        <w:autoSpaceDN/>
        <w:adjustRightInd/>
        <w:spacing w:after="60"/>
        <w:ind w:left="174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34"/>
        <w:gridCol w:w="6337"/>
        <w:gridCol w:w="6102"/>
      </w:tblGrid>
      <w:tr w:rsidR="009044E4" w:rsidRPr="008463ED" w14:paraId="4AFF22CD" w14:textId="77777777" w:rsidTr="00AE5E07">
        <w:trPr>
          <w:cantSplit/>
        </w:trPr>
        <w:tc>
          <w:tcPr>
            <w:tcW w:w="1134" w:type="dxa"/>
          </w:tcPr>
          <w:p w14:paraId="0AF40A60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4F3EB0A2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„Nauka – badania, rozwój, kształcenie, wiedza”</w:t>
            </w:r>
          </w:p>
        </w:tc>
        <w:tc>
          <w:tcPr>
            <w:tcW w:w="6102" w:type="dxa"/>
          </w:tcPr>
          <w:p w14:paraId="330B13B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5824D920" w14:textId="77777777" w:rsidTr="00AE5E07">
        <w:trPr>
          <w:cantSplit/>
        </w:trPr>
        <w:tc>
          <w:tcPr>
            <w:tcW w:w="1134" w:type="dxa"/>
          </w:tcPr>
          <w:p w14:paraId="38E6E079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0C3E5F2C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dziedzinowa z uczelniami wyższymi i instytucjami naukowymi oraz badawczymi.</w:t>
            </w:r>
          </w:p>
        </w:tc>
        <w:tc>
          <w:tcPr>
            <w:tcW w:w="6102" w:type="dxa"/>
          </w:tcPr>
          <w:p w14:paraId="4FD5CCF6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Podejmowana, np. przy organizowaniu konferencji (KKIO, </w:t>
            </w:r>
            <w:proofErr w:type="spellStart"/>
            <w:r w:rsidRPr="008463ED">
              <w:rPr>
                <w:rFonts w:ascii="Consolas" w:hAnsi="Consolas"/>
              </w:rPr>
              <w:t>FedCSIS</w:t>
            </w:r>
            <w:proofErr w:type="spellEnd"/>
            <w:r w:rsidRPr="008463ED">
              <w:rPr>
                <w:rFonts w:ascii="Consolas" w:hAnsi="Consolas"/>
              </w:rPr>
              <w:t xml:space="preserve">, </w:t>
            </w:r>
            <w:proofErr w:type="spellStart"/>
            <w:r w:rsidRPr="008463ED">
              <w:rPr>
                <w:rFonts w:ascii="Consolas" w:hAnsi="Consolas"/>
              </w:rPr>
              <w:t>IwE</w:t>
            </w:r>
            <w:proofErr w:type="spellEnd"/>
            <w:r w:rsidR="00196A22" w:rsidRPr="008463ED">
              <w:rPr>
                <w:rFonts w:ascii="Consolas" w:hAnsi="Consolas"/>
              </w:rPr>
              <w:t>, TERW), zleceń Rady Sektorowej</w:t>
            </w:r>
          </w:p>
        </w:tc>
      </w:tr>
      <w:tr w:rsidR="009044E4" w:rsidRPr="008463ED" w14:paraId="5D230EAE" w14:textId="77777777" w:rsidTr="00AE5E07">
        <w:trPr>
          <w:cantSplit/>
        </w:trPr>
        <w:tc>
          <w:tcPr>
            <w:tcW w:w="1134" w:type="dxa"/>
          </w:tcPr>
          <w:p w14:paraId="18AA7FB6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5FF22FD9" w14:textId="6D39905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Opiniowanie programów nauczania na poziomie ciał stanowiących na uczelniach na poziomie Polskiej Komisji Akredytacyjnej</w:t>
            </w:r>
            <w:r w:rsidR="00645A70" w:rsidRPr="008463ED">
              <w:rPr>
                <w:rFonts w:ascii="Consolas" w:hAnsi="Consolas"/>
              </w:rPr>
              <w:t xml:space="preserve"> i na poziomie szkolnictwa zawodowego</w:t>
            </w:r>
          </w:p>
        </w:tc>
        <w:tc>
          <w:tcPr>
            <w:tcW w:w="6102" w:type="dxa"/>
          </w:tcPr>
          <w:p w14:paraId="692283A7" w14:textId="77777777" w:rsidR="00645A70" w:rsidRPr="008463ED" w:rsidRDefault="00196A22" w:rsidP="00645A70">
            <w:pPr>
              <w:pStyle w:val="Tekstkomentarza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Praktycznie nie podejmowane, Rada Sektorowa zaopiniowana otwarcie studiów magisterskich na UKW</w:t>
            </w:r>
            <w:r w:rsidR="00645A70" w:rsidRPr="008463ED">
              <w:rPr>
                <w:rFonts w:ascii="Consolas" w:hAnsi="Consolas"/>
              </w:rPr>
              <w:t>. Opiniowanie podstaw programowych np. technik informatyk dla MEN</w:t>
            </w:r>
          </w:p>
          <w:p w14:paraId="6C21861E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</w:p>
        </w:tc>
      </w:tr>
      <w:tr w:rsidR="009044E4" w:rsidRPr="008463ED" w14:paraId="71A85750" w14:textId="77777777" w:rsidTr="00AE5E07">
        <w:trPr>
          <w:cantSplit/>
          <w:trHeight w:val="837"/>
        </w:trPr>
        <w:tc>
          <w:tcPr>
            <w:tcW w:w="1134" w:type="dxa"/>
          </w:tcPr>
          <w:p w14:paraId="24F704B3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337C188D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Aktywne funkcjonowanie Rady Naukowej PTI, będącej łącznikiem pomiędzy środowiskami PTI i nauk informatycznych.</w:t>
            </w:r>
          </w:p>
        </w:tc>
        <w:tc>
          <w:tcPr>
            <w:tcW w:w="6102" w:type="dxa"/>
          </w:tcPr>
          <w:p w14:paraId="3AC6A4AD" w14:textId="77777777" w:rsidR="009044E4" w:rsidRPr="008463ED" w:rsidRDefault="00196A22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Rada Naukowa funkcjonuje, m.in. jest przeprowadzany konkurs na wybitną książkę informatyczną</w:t>
            </w:r>
          </w:p>
        </w:tc>
      </w:tr>
      <w:tr w:rsidR="003858F8" w:rsidRPr="008463ED" w14:paraId="55C3B76E" w14:textId="77777777" w:rsidTr="00AE5E07">
        <w:trPr>
          <w:cantSplit/>
        </w:trPr>
        <w:tc>
          <w:tcPr>
            <w:tcW w:w="1134" w:type="dxa"/>
          </w:tcPr>
          <w:p w14:paraId="622A896D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14E7140F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Aktywna praca przy tworzeniu podstawy programowej dla przedmiotów informatycznych. </w:t>
            </w:r>
          </w:p>
        </w:tc>
        <w:tc>
          <w:tcPr>
            <w:tcW w:w="6102" w:type="dxa"/>
          </w:tcPr>
          <w:p w14:paraId="7FF947C8" w14:textId="449B1093" w:rsidR="00645A70" w:rsidRPr="008463ED" w:rsidRDefault="00645A70" w:rsidP="00645A70">
            <w:pPr>
              <w:pStyle w:val="Tekstkomentarza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Opiniowanie podstaw programowych</w:t>
            </w:r>
            <w:r w:rsidR="001A0DF9">
              <w:rPr>
                <w:rFonts w:ascii="Consolas" w:hAnsi="Consolas"/>
              </w:rPr>
              <w:t>,</w:t>
            </w:r>
            <w:r w:rsidRPr="008463ED">
              <w:rPr>
                <w:rFonts w:ascii="Consolas" w:hAnsi="Consolas"/>
              </w:rPr>
              <w:t xml:space="preserve"> np. technik informatyk dla MEN</w:t>
            </w:r>
          </w:p>
          <w:p w14:paraId="1943B6AD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</w:p>
        </w:tc>
      </w:tr>
      <w:tr w:rsidR="003858F8" w:rsidRPr="008463ED" w14:paraId="40C8AF83" w14:textId="77777777" w:rsidTr="00AE5E07">
        <w:trPr>
          <w:cantSplit/>
        </w:trPr>
        <w:tc>
          <w:tcPr>
            <w:tcW w:w="1134" w:type="dxa"/>
          </w:tcPr>
          <w:p w14:paraId="5060D3B9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2DA7351A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Rozszerzenie współpracy z KI PAN i </w:t>
            </w:r>
            <w:proofErr w:type="spellStart"/>
            <w:r w:rsidRPr="008463ED">
              <w:rPr>
                <w:rFonts w:ascii="Consolas" w:hAnsi="Consolas"/>
              </w:rPr>
              <w:t>i</w:t>
            </w:r>
            <w:proofErr w:type="spellEnd"/>
            <w:r w:rsidRPr="008463ED">
              <w:rPr>
                <w:rFonts w:ascii="Consolas" w:hAnsi="Consolas"/>
              </w:rPr>
              <w:t xml:space="preserve"> innymi placówkami naukowymi, w tym IPI PAN, IHN PAN.</w:t>
            </w:r>
          </w:p>
        </w:tc>
        <w:tc>
          <w:tcPr>
            <w:tcW w:w="6102" w:type="dxa"/>
          </w:tcPr>
          <w:p w14:paraId="02ACF892" w14:textId="546356A9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 zasadzie kwestia nie została podjęta, poza delegowanie przedstawiciela PTI do KI PAN</w:t>
            </w:r>
            <w:r w:rsidR="00AC62D6" w:rsidRPr="008463ED">
              <w:rPr>
                <w:rFonts w:ascii="Consolas" w:hAnsi="Consolas"/>
              </w:rPr>
              <w:t xml:space="preserve"> oraz do rady i komitetu PKN</w:t>
            </w:r>
          </w:p>
        </w:tc>
      </w:tr>
      <w:tr w:rsidR="003858F8" w:rsidRPr="008463ED" w14:paraId="3BA4E5A8" w14:textId="77777777" w:rsidTr="00AE5E07">
        <w:trPr>
          <w:cantSplit/>
        </w:trPr>
        <w:tc>
          <w:tcPr>
            <w:tcW w:w="1134" w:type="dxa"/>
          </w:tcPr>
          <w:p w14:paraId="6E021074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603E1724" w14:textId="77777777" w:rsidR="003858F8" w:rsidRPr="00C44669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 xml:space="preserve">Opracowanie zasad akredytacji nauczania przedmiotów informatycznych na różnych poziomach edukacji. </w:t>
            </w:r>
          </w:p>
        </w:tc>
        <w:tc>
          <w:tcPr>
            <w:tcW w:w="6102" w:type="dxa"/>
          </w:tcPr>
          <w:p w14:paraId="490ABA96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C44669" w:rsidRPr="008463ED" w14:paraId="1709071A" w14:textId="77777777" w:rsidTr="00AE5E07">
        <w:trPr>
          <w:cantSplit/>
        </w:trPr>
        <w:tc>
          <w:tcPr>
            <w:tcW w:w="1134" w:type="dxa"/>
          </w:tcPr>
          <w:p w14:paraId="0FE23D32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75524EB9" w14:textId="2459C7DD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Inicjowanie, wspieranie i promowanie badań i prac wdrożeniowych dotyczących narzędzi i technologii informatycznych oraz usług, pozwalających na rozszerzanie zakresu zastosowania TIK w życiu codziennym i poprawę praktycznych korzyści, odnoszonych przez wszystkich obywateli.</w:t>
            </w:r>
          </w:p>
        </w:tc>
        <w:tc>
          <w:tcPr>
            <w:tcW w:w="6102" w:type="dxa"/>
          </w:tcPr>
          <w:p w14:paraId="71A30BCF" w14:textId="2787550E" w:rsidR="00C44669" w:rsidRPr="008463ED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C44669" w:rsidRPr="008463ED" w14:paraId="4F52140D" w14:textId="77777777" w:rsidTr="00AE5E07">
        <w:trPr>
          <w:cantSplit/>
        </w:trPr>
        <w:tc>
          <w:tcPr>
            <w:tcW w:w="1134" w:type="dxa"/>
          </w:tcPr>
          <w:p w14:paraId="312113DA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5D0370C1" w14:textId="2355400E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Budowa Biblioteki Cyfrowej PTI z udostepnieniem w pierwszej kolejności Biuletynu PTI, Pro Dialogu i archiwalnych materiałów konferencyjnych.</w:t>
            </w:r>
          </w:p>
        </w:tc>
        <w:tc>
          <w:tcPr>
            <w:tcW w:w="6102" w:type="dxa"/>
          </w:tcPr>
          <w:p w14:paraId="68097ECB" w14:textId="196B80E8" w:rsidR="00C44669" w:rsidRPr="008463ED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W tym kształcie kwestia nie została podjęta, w pewnym zakresie </w:t>
            </w:r>
            <w:r w:rsidR="000C3218">
              <w:rPr>
                <w:rFonts w:ascii="Consolas" w:hAnsi="Consolas"/>
              </w:rPr>
              <w:t>jest to realizowanie przez portal sekcji Klio</w:t>
            </w:r>
          </w:p>
        </w:tc>
      </w:tr>
      <w:tr w:rsidR="00C44669" w:rsidRPr="008463ED" w14:paraId="32B1CDD8" w14:textId="77777777" w:rsidTr="00AE5E07">
        <w:trPr>
          <w:cantSplit/>
        </w:trPr>
        <w:tc>
          <w:tcPr>
            <w:tcW w:w="1134" w:type="dxa"/>
          </w:tcPr>
          <w:p w14:paraId="33DB1B0E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77A9A8BF" w14:textId="1887199A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Utworzenie Biura Historii Informatyki.</w:t>
            </w:r>
          </w:p>
        </w:tc>
        <w:tc>
          <w:tcPr>
            <w:tcW w:w="6102" w:type="dxa"/>
          </w:tcPr>
          <w:p w14:paraId="42BB9E39" w14:textId="0DDB280F" w:rsidR="00C44669" w:rsidRPr="008463ED" w:rsidRDefault="000C3218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C44669" w:rsidRPr="008463ED" w14:paraId="77D6F9CF" w14:textId="77777777" w:rsidTr="00AE5E07">
        <w:trPr>
          <w:cantSplit/>
        </w:trPr>
        <w:tc>
          <w:tcPr>
            <w:tcW w:w="1134" w:type="dxa"/>
          </w:tcPr>
          <w:p w14:paraId="4B79CC9E" w14:textId="77777777" w:rsidR="00C44669" w:rsidRPr="008463ED" w:rsidRDefault="00C44669" w:rsidP="00C44669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1AAB9BAC" w14:textId="11EDEB7C" w:rsidR="00C44669" w:rsidRPr="00C44669" w:rsidRDefault="00C44669" w:rsidP="00C4466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 xml:space="preserve">Organizacja konferencji dotyczących zastosowań narzędzi informatycznych w nauczaniu różnych przedmiotów. </w:t>
            </w:r>
          </w:p>
        </w:tc>
        <w:tc>
          <w:tcPr>
            <w:tcW w:w="6102" w:type="dxa"/>
          </w:tcPr>
          <w:p w14:paraId="447FD9E5" w14:textId="30319983" w:rsidR="00C44669" w:rsidRPr="008463ED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Jest organizowana konferencja </w:t>
            </w:r>
            <w:proofErr w:type="spellStart"/>
            <w:r>
              <w:rPr>
                <w:rFonts w:ascii="Consolas" w:hAnsi="Consolas"/>
              </w:rPr>
              <w:t>IwE</w:t>
            </w:r>
            <w:proofErr w:type="spellEnd"/>
          </w:p>
        </w:tc>
      </w:tr>
      <w:tr w:rsidR="000C3218" w:rsidRPr="008463ED" w14:paraId="6E269383" w14:textId="77777777" w:rsidTr="00AE5E07">
        <w:trPr>
          <w:cantSplit/>
        </w:trPr>
        <w:tc>
          <w:tcPr>
            <w:tcW w:w="1134" w:type="dxa"/>
          </w:tcPr>
          <w:p w14:paraId="27E86885" w14:textId="77777777" w:rsidR="000C3218" w:rsidRPr="008463ED" w:rsidRDefault="000C3218" w:rsidP="000C321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19FE6FCA" w14:textId="6F6FB2E9" w:rsidR="000C3218" w:rsidRPr="00C44669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>Utworzenie i utrzymywanie zasobu polskiej terminologii informatycznej.</w:t>
            </w:r>
          </w:p>
        </w:tc>
        <w:tc>
          <w:tcPr>
            <w:tcW w:w="6102" w:type="dxa"/>
          </w:tcPr>
          <w:p w14:paraId="51135812" w14:textId="298FE600" w:rsidR="000C3218" w:rsidRPr="008463ED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0C3218" w:rsidRPr="008463ED" w14:paraId="3BF9CF86" w14:textId="77777777" w:rsidTr="00AE5E07">
        <w:trPr>
          <w:cantSplit/>
        </w:trPr>
        <w:tc>
          <w:tcPr>
            <w:tcW w:w="1134" w:type="dxa"/>
          </w:tcPr>
          <w:p w14:paraId="32DC59B2" w14:textId="77777777" w:rsidR="000C3218" w:rsidRPr="008463ED" w:rsidRDefault="000C3218" w:rsidP="000C3218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37" w:type="dxa"/>
          </w:tcPr>
          <w:p w14:paraId="4A69E16C" w14:textId="2B2F7DB2" w:rsidR="000C3218" w:rsidRPr="00C44669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C44669">
              <w:rPr>
                <w:rFonts w:ascii="Consolas" w:hAnsi="Consolas"/>
              </w:rPr>
              <w:t xml:space="preserve">Wspierania polskojęzycznej </w:t>
            </w:r>
            <w:proofErr w:type="spellStart"/>
            <w:r w:rsidRPr="00C44669">
              <w:rPr>
                <w:rFonts w:ascii="Consolas" w:hAnsi="Consolas"/>
              </w:rPr>
              <w:t>wikipedii</w:t>
            </w:r>
            <w:proofErr w:type="spellEnd"/>
            <w:r w:rsidRPr="00C44669">
              <w:rPr>
                <w:rFonts w:ascii="Consolas" w:hAnsi="Consolas"/>
              </w:rPr>
              <w:t xml:space="preserve"> w obszarze tematycznym Informatyka poprzez weryfikację oraz opracowanie nowych haseł z zakresu informatyki.</w:t>
            </w:r>
          </w:p>
        </w:tc>
        <w:tc>
          <w:tcPr>
            <w:tcW w:w="6102" w:type="dxa"/>
          </w:tcPr>
          <w:p w14:paraId="5AF9CB51" w14:textId="5C14855C" w:rsidR="000C3218" w:rsidRPr="008463ED" w:rsidRDefault="000C3218" w:rsidP="000C321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Kwestia nie została podjęta – istniejąca sekcji z powodu braku aktywności została rozwiązana.</w:t>
            </w:r>
          </w:p>
        </w:tc>
      </w:tr>
    </w:tbl>
    <w:p w14:paraId="400B3DB7" w14:textId="29908BF9" w:rsidR="00072B78" w:rsidRDefault="00072B78" w:rsidP="00743257">
      <w:pPr>
        <w:widowControl/>
        <w:jc w:val="both"/>
        <w:rPr>
          <w:rFonts w:ascii="Consolas" w:hAnsi="Consolas" w:cs="Arial"/>
        </w:rPr>
      </w:pPr>
    </w:p>
    <w:p w14:paraId="295697B1" w14:textId="77777777" w:rsidR="00783D76" w:rsidRPr="008463ED" w:rsidRDefault="00783D76" w:rsidP="00743257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21"/>
        <w:gridCol w:w="6367"/>
        <w:gridCol w:w="6085"/>
      </w:tblGrid>
      <w:tr w:rsidR="009044E4" w:rsidRPr="008463ED" w14:paraId="4559438A" w14:textId="77777777" w:rsidTr="00783D76">
        <w:trPr>
          <w:cantSplit/>
        </w:trPr>
        <w:tc>
          <w:tcPr>
            <w:tcW w:w="1121" w:type="dxa"/>
          </w:tcPr>
          <w:p w14:paraId="0A4B6D9A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AB85170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Style w:val="Uwydatnienie"/>
                <w:rFonts w:ascii="Consolas" w:hAnsi="Consolas"/>
                <w:b/>
                <w:i w:val="0"/>
              </w:rPr>
              <w:t>Zawód – specjaliści i kompetencje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85" w:type="dxa"/>
          </w:tcPr>
          <w:p w14:paraId="5C18FAC5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3858F8" w:rsidRPr="008463ED" w14:paraId="061213E8" w14:textId="77777777" w:rsidTr="00783D76">
        <w:trPr>
          <w:cantSplit/>
        </w:trPr>
        <w:tc>
          <w:tcPr>
            <w:tcW w:w="1121" w:type="dxa"/>
          </w:tcPr>
          <w:p w14:paraId="0C80D529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57E3912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Utworzenie systemu odpłatnej certyfikacji zawodowej (stopni zawodowych) informatyków – okresowe, odnawialne potwierdzanie dorobku zawodowego i praktycznego z grupą docelową – informatycy zawodowi i przedsiębiorstwa informatyczne.</w:t>
            </w:r>
          </w:p>
        </w:tc>
        <w:tc>
          <w:tcPr>
            <w:tcW w:w="6085" w:type="dxa"/>
          </w:tcPr>
          <w:p w14:paraId="166043B4" w14:textId="60F37C89" w:rsidR="003858F8" w:rsidRPr="008463ED" w:rsidRDefault="003858F8" w:rsidP="00CA24A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</w:t>
            </w:r>
            <w:r w:rsidR="00CA24A7" w:rsidRPr="008463ED">
              <w:rPr>
                <w:rFonts w:ascii="Consolas" w:hAnsi="Consolas"/>
              </w:rPr>
              <w:t>stała podjęta, choć można uznać za działanie w tym kierunku uzyskanie wpisu</w:t>
            </w:r>
            <w:r w:rsidR="00AC62D6" w:rsidRPr="008463ED">
              <w:rPr>
                <w:rFonts w:ascii="Consolas" w:hAnsi="Consolas"/>
              </w:rPr>
              <w:t xml:space="preserve">  </w:t>
            </w:r>
            <w:r w:rsidR="00CA24A7" w:rsidRPr="008463ED">
              <w:rPr>
                <w:rFonts w:ascii="Consolas" w:hAnsi="Consolas"/>
              </w:rPr>
              <w:t xml:space="preserve"> kwalifikacji dot. </w:t>
            </w:r>
            <w:proofErr w:type="spellStart"/>
            <w:r w:rsidR="00CA24A7" w:rsidRPr="008463ED">
              <w:rPr>
                <w:rFonts w:ascii="Consolas" w:hAnsi="Consolas"/>
              </w:rPr>
              <w:t>cyberbezpieczeństwa</w:t>
            </w:r>
            <w:proofErr w:type="spellEnd"/>
            <w:r w:rsidR="00CA24A7" w:rsidRPr="008463ED">
              <w:rPr>
                <w:rFonts w:ascii="Consolas" w:hAnsi="Consolas"/>
              </w:rPr>
              <w:t xml:space="preserve"> do rejestru państwowego</w:t>
            </w:r>
            <w:r w:rsidR="000400CF" w:rsidRPr="008463ED">
              <w:rPr>
                <w:rFonts w:ascii="Consolas" w:hAnsi="Consolas"/>
              </w:rPr>
              <w:t xml:space="preserve">, </w:t>
            </w:r>
            <w:r w:rsidR="001A0DF9">
              <w:rPr>
                <w:rFonts w:ascii="Consolas" w:hAnsi="Consolas"/>
              </w:rPr>
              <w:t xml:space="preserve">ponadto </w:t>
            </w:r>
            <w:r w:rsidR="000400CF" w:rsidRPr="008463ED">
              <w:rPr>
                <w:rFonts w:ascii="Consolas" w:hAnsi="Consolas"/>
              </w:rPr>
              <w:t>złożono wnioski do MC o nadanie przez MC uprawnień do certyfikowania 3 kwalifikacji</w:t>
            </w:r>
          </w:p>
        </w:tc>
      </w:tr>
      <w:tr w:rsidR="003858F8" w:rsidRPr="008463ED" w14:paraId="19CEB1C7" w14:textId="77777777" w:rsidTr="00783D76">
        <w:trPr>
          <w:cantSplit/>
        </w:trPr>
        <w:tc>
          <w:tcPr>
            <w:tcW w:w="1121" w:type="dxa"/>
          </w:tcPr>
          <w:p w14:paraId="7E9251A4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E5300C8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Organizacja platformy rozwoju zawodowego na preferencyjnych warunkach dla członków PTI - szkolenia, studia podyplomowe, certyfikacje produktowe.</w:t>
            </w:r>
          </w:p>
        </w:tc>
        <w:tc>
          <w:tcPr>
            <w:tcW w:w="6085" w:type="dxa"/>
          </w:tcPr>
          <w:p w14:paraId="6151CA67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858F8" w:rsidRPr="008463ED" w14:paraId="52DEDEAF" w14:textId="77777777" w:rsidTr="00783D76">
        <w:trPr>
          <w:cantSplit/>
        </w:trPr>
        <w:tc>
          <w:tcPr>
            <w:tcW w:w="1121" w:type="dxa"/>
          </w:tcPr>
          <w:p w14:paraId="2986E966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37B4BA2F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Utworzenie rekomendowanego i okresowo aktualizowanego wzorcowego wykazu nazw stanowisk informatycznych merytorycznych, wraz z zarządczymi i towarzyszącymi w przedsiębiorstwach informatycznych, w powiązaniu z projektem CEPIS-u e-</w:t>
            </w:r>
            <w:proofErr w:type="spellStart"/>
            <w:r w:rsidRPr="008463ED">
              <w:rPr>
                <w:rFonts w:ascii="Consolas" w:hAnsi="Consolas"/>
              </w:rPr>
              <w:t>Competence</w:t>
            </w:r>
            <w:proofErr w:type="spellEnd"/>
            <w:r w:rsidRPr="008463ED">
              <w:rPr>
                <w:rFonts w:ascii="Consolas" w:hAnsi="Consolas"/>
              </w:rPr>
              <w:t xml:space="preserve"> Benchmark lub innymi z tego zakresu.</w:t>
            </w:r>
          </w:p>
        </w:tc>
        <w:tc>
          <w:tcPr>
            <w:tcW w:w="6085" w:type="dxa"/>
          </w:tcPr>
          <w:p w14:paraId="2B576588" w14:textId="2229D67E" w:rsidR="003858F8" w:rsidRPr="008463ED" w:rsidRDefault="003858F8" w:rsidP="001A0DF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</w:t>
            </w:r>
            <w:r w:rsidR="001A0DF9">
              <w:rPr>
                <w:rFonts w:ascii="Consolas" w:hAnsi="Consolas"/>
              </w:rPr>
              <w:t xml:space="preserve">, ale za </w:t>
            </w:r>
            <w:r w:rsidR="00645A70" w:rsidRPr="008463ED">
              <w:rPr>
                <w:rFonts w:ascii="Consolas" w:hAnsi="Consolas"/>
              </w:rPr>
              <w:t>Sektorowa Rada organizowała seminarium związane e-</w:t>
            </w:r>
            <w:proofErr w:type="spellStart"/>
            <w:r w:rsidR="00645A70" w:rsidRPr="008463ED">
              <w:rPr>
                <w:rFonts w:ascii="Consolas" w:hAnsi="Consolas"/>
              </w:rPr>
              <w:t>Competence</w:t>
            </w:r>
            <w:proofErr w:type="spellEnd"/>
            <w:r w:rsidR="00645A70" w:rsidRPr="008463ED">
              <w:rPr>
                <w:rFonts w:ascii="Consolas" w:hAnsi="Consolas"/>
              </w:rPr>
              <w:t xml:space="preserve"> Framework</w:t>
            </w:r>
            <w:r w:rsidR="001A0DF9">
              <w:rPr>
                <w:rFonts w:ascii="Consolas" w:hAnsi="Consolas"/>
              </w:rPr>
              <w:t xml:space="preserve"> </w:t>
            </w:r>
            <w:r w:rsidR="00645A70" w:rsidRPr="008463ED">
              <w:rPr>
                <w:rFonts w:ascii="Consolas" w:hAnsi="Consolas"/>
              </w:rPr>
              <w:t xml:space="preserve">- w planach </w:t>
            </w:r>
            <w:r w:rsidR="00857F85" w:rsidRPr="008463ED">
              <w:rPr>
                <w:rFonts w:ascii="Consolas" w:hAnsi="Consolas"/>
              </w:rPr>
              <w:t>lokalizacja</w:t>
            </w:r>
            <w:r w:rsidR="00645A70" w:rsidRPr="008463ED">
              <w:rPr>
                <w:rFonts w:ascii="Consolas" w:hAnsi="Consolas"/>
              </w:rPr>
              <w:t>.</w:t>
            </w:r>
          </w:p>
        </w:tc>
      </w:tr>
      <w:tr w:rsidR="003858F8" w:rsidRPr="008463ED" w14:paraId="59084158" w14:textId="77777777" w:rsidTr="00783D76">
        <w:trPr>
          <w:cantSplit/>
        </w:trPr>
        <w:tc>
          <w:tcPr>
            <w:tcW w:w="1121" w:type="dxa"/>
          </w:tcPr>
          <w:p w14:paraId="4B11B5F7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17EAF22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Podjęcie działań promocyjnych w zakresie certyfikacji specjalistów. </w:t>
            </w:r>
          </w:p>
        </w:tc>
        <w:tc>
          <w:tcPr>
            <w:tcW w:w="6085" w:type="dxa"/>
          </w:tcPr>
          <w:p w14:paraId="74115C21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858F8" w:rsidRPr="008463ED" w14:paraId="28B345DE" w14:textId="77777777" w:rsidTr="00783D76">
        <w:trPr>
          <w:cantSplit/>
        </w:trPr>
        <w:tc>
          <w:tcPr>
            <w:tcW w:w="1121" w:type="dxa"/>
          </w:tcPr>
          <w:p w14:paraId="2CBFACCE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50551A86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Popularyzacja roli certyfikatów zawodowych (szczególnie wśród pracodawców).</w:t>
            </w:r>
          </w:p>
        </w:tc>
        <w:tc>
          <w:tcPr>
            <w:tcW w:w="6085" w:type="dxa"/>
          </w:tcPr>
          <w:p w14:paraId="6BE76FA7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3858F8" w:rsidRPr="008463ED" w14:paraId="2D88D2BD" w14:textId="77777777" w:rsidTr="00783D76">
        <w:trPr>
          <w:cantSplit/>
        </w:trPr>
        <w:tc>
          <w:tcPr>
            <w:tcW w:w="1121" w:type="dxa"/>
          </w:tcPr>
          <w:p w14:paraId="008C1438" w14:textId="77777777" w:rsidR="003858F8" w:rsidRPr="008463ED" w:rsidRDefault="003858F8" w:rsidP="003858F8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18F04F29" w14:textId="77777777" w:rsidR="003858F8" w:rsidRPr="008463ED" w:rsidRDefault="003858F8" w:rsidP="003858F8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Akcja "Informatycy informatykom" – szkolenia zawodowe dla informatyków czynnych zawodowo, opcjonalnie kończone certyfikatem wydawanym przez PTI.</w:t>
            </w:r>
          </w:p>
        </w:tc>
        <w:tc>
          <w:tcPr>
            <w:tcW w:w="6085" w:type="dxa"/>
          </w:tcPr>
          <w:p w14:paraId="56198ED1" w14:textId="5CF8274D" w:rsidR="003858F8" w:rsidRPr="008463ED" w:rsidRDefault="003858F8" w:rsidP="00857F85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Kwestia podjęta w ograniczonym zakresie – były szkolenia np. </w:t>
            </w:r>
            <w:r w:rsidR="00857F85" w:rsidRPr="008463ED">
              <w:rPr>
                <w:rFonts w:ascii="Consolas" w:hAnsi="Consolas"/>
              </w:rPr>
              <w:t>n</w:t>
            </w:r>
            <w:r w:rsidR="00092D69" w:rsidRPr="008463ED">
              <w:rPr>
                <w:rFonts w:ascii="Consolas" w:hAnsi="Consolas"/>
              </w:rPr>
              <w:t>orma</w:t>
            </w:r>
            <w:r w:rsidR="00AC62D6" w:rsidRPr="008463ED">
              <w:rPr>
                <w:rFonts w:ascii="Consolas" w:hAnsi="Consolas"/>
              </w:rPr>
              <w:t xml:space="preserve"> </w:t>
            </w:r>
            <w:r w:rsidR="00857F85" w:rsidRPr="008463ED">
              <w:rPr>
                <w:rFonts w:ascii="Consolas" w:hAnsi="Consolas"/>
              </w:rPr>
              <w:t>a</w:t>
            </w:r>
            <w:r w:rsidR="00AC62D6" w:rsidRPr="008463ED">
              <w:rPr>
                <w:rFonts w:ascii="Consolas" w:hAnsi="Consolas"/>
              </w:rPr>
              <w:t xml:space="preserve">udytor </w:t>
            </w:r>
            <w:r w:rsidR="00092D69" w:rsidRPr="008463ED">
              <w:rPr>
                <w:rFonts w:ascii="Consolas" w:hAnsi="Consolas"/>
              </w:rPr>
              <w:t>ISO IEC 15504-5 odwołująca się do zbliżonych norm ISO IEC 12207 i ISO IEC 15288</w:t>
            </w:r>
          </w:p>
        </w:tc>
      </w:tr>
      <w:tr w:rsidR="00CA24A7" w:rsidRPr="008463ED" w14:paraId="691BA08F" w14:textId="77777777" w:rsidTr="00783D76">
        <w:trPr>
          <w:cantSplit/>
        </w:trPr>
        <w:tc>
          <w:tcPr>
            <w:tcW w:w="1121" w:type="dxa"/>
          </w:tcPr>
          <w:p w14:paraId="7509608B" w14:textId="77777777" w:rsidR="00CA24A7" w:rsidRPr="008463ED" w:rsidRDefault="00CA24A7" w:rsidP="00CA24A7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3C9A411" w14:textId="77777777" w:rsidR="00CA24A7" w:rsidRPr="008463ED" w:rsidRDefault="00CA24A7" w:rsidP="00CA24A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Cykliczne webinaria informatyczne – uruchomienie własnych kanałów webowych.</w:t>
            </w:r>
          </w:p>
        </w:tc>
        <w:tc>
          <w:tcPr>
            <w:tcW w:w="6085" w:type="dxa"/>
          </w:tcPr>
          <w:p w14:paraId="69A7E57B" w14:textId="77777777" w:rsidR="00CA24A7" w:rsidRPr="008463ED" w:rsidRDefault="00CA24A7" w:rsidP="00CA24A7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</w:tbl>
    <w:p w14:paraId="63EB77F9" w14:textId="7A0618AB" w:rsidR="00C25E7F" w:rsidRDefault="00C25E7F" w:rsidP="00C25E7F">
      <w:pPr>
        <w:widowControl/>
        <w:jc w:val="both"/>
        <w:rPr>
          <w:rFonts w:ascii="Consolas" w:hAnsi="Consolas" w:cs="Arial"/>
        </w:rPr>
      </w:pPr>
    </w:p>
    <w:p w14:paraId="56ED613D" w14:textId="6BB84A95" w:rsidR="00783D76" w:rsidRDefault="00783D76" w:rsidP="00C25E7F">
      <w:pPr>
        <w:widowControl/>
        <w:jc w:val="both"/>
        <w:rPr>
          <w:rFonts w:ascii="Consolas" w:hAnsi="Consolas" w:cs="Arial"/>
        </w:rPr>
      </w:pPr>
    </w:p>
    <w:p w14:paraId="181225C6" w14:textId="0B3FE949" w:rsidR="00783D76" w:rsidRDefault="00783D76" w:rsidP="00C25E7F">
      <w:pPr>
        <w:widowControl/>
        <w:jc w:val="both"/>
        <w:rPr>
          <w:rFonts w:ascii="Consolas" w:hAnsi="Consolas" w:cs="Arial"/>
        </w:rPr>
      </w:pPr>
    </w:p>
    <w:p w14:paraId="2DE54C85" w14:textId="77777777" w:rsidR="00783D76" w:rsidRPr="008463ED" w:rsidRDefault="00783D76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21"/>
        <w:gridCol w:w="6367"/>
        <w:gridCol w:w="6085"/>
      </w:tblGrid>
      <w:tr w:rsidR="009044E4" w:rsidRPr="008463ED" w14:paraId="503C0851" w14:textId="77777777" w:rsidTr="00783D76">
        <w:trPr>
          <w:cantSplit/>
        </w:trPr>
        <w:tc>
          <w:tcPr>
            <w:tcW w:w="1121" w:type="dxa"/>
          </w:tcPr>
          <w:p w14:paraId="5B66661E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26884DD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Style w:val="Uwydatnienie"/>
                <w:rFonts w:ascii="Consolas" w:hAnsi="Consolas"/>
                <w:b/>
                <w:i w:val="0"/>
              </w:rPr>
              <w:t>Edukacja – użytkownicy i umiejętności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85" w:type="dxa"/>
          </w:tcPr>
          <w:p w14:paraId="7EBDBE57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72C98D1E" w14:textId="77777777" w:rsidTr="00783D76">
        <w:trPr>
          <w:cantSplit/>
        </w:trPr>
        <w:tc>
          <w:tcPr>
            <w:tcW w:w="1121" w:type="dxa"/>
          </w:tcPr>
          <w:p w14:paraId="2A17EDCF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30AE4A1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Propagowanie i promowanie certyfikatów ECDL jako najlepszego sprawdzianu umiejętności komputerowych użytkowników informatyki – pracowników i kandydatów do pracy.</w:t>
            </w:r>
          </w:p>
        </w:tc>
        <w:tc>
          <w:tcPr>
            <w:tcW w:w="6085" w:type="dxa"/>
          </w:tcPr>
          <w:p w14:paraId="03F1EACE" w14:textId="77777777" w:rsidR="009044E4" w:rsidRPr="008463ED" w:rsidRDefault="00BA3661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9044E4" w:rsidRPr="008463ED" w14:paraId="03CEA45F" w14:textId="77777777" w:rsidTr="00783D76">
        <w:trPr>
          <w:cantSplit/>
        </w:trPr>
        <w:tc>
          <w:tcPr>
            <w:tcW w:w="1121" w:type="dxa"/>
          </w:tcPr>
          <w:p w14:paraId="39379F26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25E15A56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Udział w pracach nad Krajową Ramą Kwalifikacji i Zintegrowanym Rejestrem Kwalifikacji.</w:t>
            </w:r>
          </w:p>
        </w:tc>
        <w:tc>
          <w:tcPr>
            <w:tcW w:w="6085" w:type="dxa"/>
          </w:tcPr>
          <w:p w14:paraId="51534D70" w14:textId="77777777" w:rsidR="009044E4" w:rsidRPr="008463ED" w:rsidRDefault="00BA3661" w:rsidP="00B16E4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podjęta w ograniczonym zakresie – wpisanie kwalifikacji do rejestru państwowego,</w:t>
            </w:r>
            <w:r w:rsidR="00B16E49" w:rsidRPr="008463ED">
              <w:rPr>
                <w:rFonts w:ascii="Consolas" w:hAnsi="Consolas"/>
              </w:rPr>
              <w:t xml:space="preserve"> uzyskanie uprawnień instytucji certyfikującej w ramach ZSK,</w:t>
            </w:r>
            <w:r w:rsidRPr="008463ED">
              <w:rPr>
                <w:rFonts w:ascii="Consolas" w:hAnsi="Consolas"/>
              </w:rPr>
              <w:t xml:space="preserve"> działalność Rady Sektorowej</w:t>
            </w:r>
            <w:r w:rsidR="00645A70" w:rsidRPr="008463ED">
              <w:rPr>
                <w:rFonts w:ascii="Consolas" w:hAnsi="Consolas"/>
              </w:rPr>
              <w:t>. Opiniowanie wniosków o wpisanie kwalifikacji do ZRK.</w:t>
            </w:r>
          </w:p>
        </w:tc>
      </w:tr>
      <w:tr w:rsidR="00BA3661" w:rsidRPr="008463ED" w14:paraId="4717DE74" w14:textId="77777777" w:rsidTr="00783D76">
        <w:trPr>
          <w:cantSplit/>
        </w:trPr>
        <w:tc>
          <w:tcPr>
            <w:tcW w:w="1121" w:type="dxa"/>
          </w:tcPr>
          <w:p w14:paraId="29848C75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5D0D23F7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Kontynuowanie tradycyjnych i rozwijanie nowych produktów ECDL, jak e-Urzędnik i e-Nauczyciel, rozwijanie popularności certyfikatu ECDL na poziomie szkół gimnazjalnych, średnich oraz uczelni.</w:t>
            </w:r>
          </w:p>
        </w:tc>
        <w:tc>
          <w:tcPr>
            <w:tcW w:w="6085" w:type="dxa"/>
          </w:tcPr>
          <w:p w14:paraId="5C29B529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BA3661" w:rsidRPr="008463ED" w14:paraId="4BF84857" w14:textId="77777777" w:rsidTr="00783D76">
        <w:trPr>
          <w:cantSplit/>
        </w:trPr>
        <w:tc>
          <w:tcPr>
            <w:tcW w:w="1121" w:type="dxa"/>
          </w:tcPr>
          <w:p w14:paraId="79BDEBF1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06117AA9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Promowanie standardu ECDL IT Security jako elementu bezpiecznego korzystania z narzędzi TIK.</w:t>
            </w:r>
          </w:p>
        </w:tc>
        <w:tc>
          <w:tcPr>
            <w:tcW w:w="6085" w:type="dxa"/>
          </w:tcPr>
          <w:p w14:paraId="679B4D7B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BA3661" w:rsidRPr="008463ED" w14:paraId="674B45BF" w14:textId="77777777" w:rsidTr="00783D76">
        <w:trPr>
          <w:cantSplit/>
        </w:trPr>
        <w:tc>
          <w:tcPr>
            <w:tcW w:w="1121" w:type="dxa"/>
          </w:tcPr>
          <w:p w14:paraId="0EFC1796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8219122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Poszerzenie oferty certyfikacji dla osób niepełnosprawnych.</w:t>
            </w:r>
          </w:p>
        </w:tc>
        <w:tc>
          <w:tcPr>
            <w:tcW w:w="6085" w:type="dxa"/>
          </w:tcPr>
          <w:p w14:paraId="3AC9B5AB" w14:textId="3708ACDC" w:rsidR="00BA3661" w:rsidRPr="008463ED" w:rsidRDefault="00BA3661" w:rsidP="00B16E49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PB ECDL</w:t>
            </w:r>
          </w:p>
        </w:tc>
      </w:tr>
      <w:tr w:rsidR="00BA3661" w:rsidRPr="008463ED" w14:paraId="5DB190AB" w14:textId="77777777" w:rsidTr="00783D76">
        <w:trPr>
          <w:cantSplit/>
        </w:trPr>
        <w:tc>
          <w:tcPr>
            <w:tcW w:w="1121" w:type="dxa"/>
          </w:tcPr>
          <w:p w14:paraId="4DBFAE6A" w14:textId="77777777" w:rsidR="00BA3661" w:rsidRPr="008463ED" w:rsidRDefault="00BA3661" w:rsidP="00BA3661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D930647" w14:textId="77777777" w:rsidR="00BA3661" w:rsidRPr="008463ED" w:rsidRDefault="00BA3661" w:rsidP="00BA3661">
            <w:pPr>
              <w:widowControl/>
              <w:autoSpaceDE/>
              <w:autoSpaceDN/>
              <w:adjustRightInd/>
              <w:spacing w:after="60" w:line="242" w:lineRule="auto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Realizacja projektów związanych z ECDL służących skorelowaniu programów nauczania z wymaganiami ECDL. </w:t>
            </w:r>
          </w:p>
        </w:tc>
        <w:tc>
          <w:tcPr>
            <w:tcW w:w="6085" w:type="dxa"/>
          </w:tcPr>
          <w:p w14:paraId="1C64AF9B" w14:textId="0C81BE65" w:rsidR="00BA3661" w:rsidRPr="008463ED" w:rsidRDefault="00664651" w:rsidP="00BA366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PB ECDL – Specjalna oferta dla szkół podstawowych, gimnazjalnych i średnich – Program „Klasa z ECDL” + </w:t>
            </w:r>
            <w:proofErr w:type="spellStart"/>
            <w:r w:rsidRPr="008463ED">
              <w:rPr>
                <w:rFonts w:ascii="Consolas" w:hAnsi="Consolas"/>
              </w:rPr>
              <w:t>exeBOOK</w:t>
            </w:r>
            <w:proofErr w:type="spellEnd"/>
          </w:p>
        </w:tc>
      </w:tr>
      <w:tr w:rsidR="00D00480" w:rsidRPr="008463ED" w14:paraId="5BE1B9A8" w14:textId="77777777" w:rsidTr="00783D76">
        <w:trPr>
          <w:cantSplit/>
        </w:trPr>
        <w:tc>
          <w:tcPr>
            <w:tcW w:w="1121" w:type="dxa"/>
          </w:tcPr>
          <w:p w14:paraId="0007D547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478DC083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 w:line="242" w:lineRule="auto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Upowszechnienie oferty ECDL dla administracji publicznej i samorządów. </w:t>
            </w:r>
          </w:p>
        </w:tc>
        <w:tc>
          <w:tcPr>
            <w:tcW w:w="6085" w:type="dxa"/>
          </w:tcPr>
          <w:p w14:paraId="241F3284" w14:textId="36781C58" w:rsidR="00D00480" w:rsidRPr="008463ED" w:rsidRDefault="00D00480" w:rsidP="0066465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PB ECDL </w:t>
            </w:r>
          </w:p>
        </w:tc>
      </w:tr>
      <w:tr w:rsidR="00D00480" w:rsidRPr="008463ED" w14:paraId="1F81A514" w14:textId="77777777" w:rsidTr="00783D76">
        <w:trPr>
          <w:cantSplit/>
        </w:trPr>
        <w:tc>
          <w:tcPr>
            <w:tcW w:w="1121" w:type="dxa"/>
          </w:tcPr>
          <w:p w14:paraId="7D9C5BB6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27754B8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Inicjowanie, wspieranie i organizacja projektów mających na celu dokształcanie i doskonalenie administracji szkolnej, nauczycieli TI i informatyki we współpracy z MEN.</w:t>
            </w:r>
          </w:p>
        </w:tc>
        <w:tc>
          <w:tcPr>
            <w:tcW w:w="6085" w:type="dxa"/>
          </w:tcPr>
          <w:p w14:paraId="66F9FD92" w14:textId="38E426F9" w:rsidR="00D00480" w:rsidRPr="008463ED" w:rsidRDefault="00D00480" w:rsidP="0066465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PB ECDL </w:t>
            </w:r>
          </w:p>
        </w:tc>
      </w:tr>
      <w:tr w:rsidR="00D00480" w:rsidRPr="008463ED" w14:paraId="70C8164A" w14:textId="77777777" w:rsidTr="00783D76">
        <w:trPr>
          <w:cantSplit/>
        </w:trPr>
        <w:tc>
          <w:tcPr>
            <w:tcW w:w="1121" w:type="dxa"/>
          </w:tcPr>
          <w:p w14:paraId="4BA6BE57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56E0F3C9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Organizacja, wspieranie i patronaty dla pokazów, warsztatów, konkursów informatycznych, olimpiad i konferencji dla młodzieży. </w:t>
            </w:r>
          </w:p>
        </w:tc>
        <w:tc>
          <w:tcPr>
            <w:tcW w:w="6085" w:type="dxa"/>
          </w:tcPr>
          <w:p w14:paraId="0EF53A3E" w14:textId="37D7E3FE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są wykonywane, m.in. ostatnio podpisano porozumienie z KO Olimpiady Informatycznej, PTI współorganizowało konferencję XX</w:t>
            </w:r>
            <w:r w:rsidR="00DF6A7D" w:rsidRPr="008463ED">
              <w:rPr>
                <w:rFonts w:ascii="Consolas" w:hAnsi="Consolas"/>
              </w:rPr>
              <w:t>V</w:t>
            </w:r>
            <w:r w:rsidRPr="008463ED">
              <w:rPr>
                <w:rFonts w:ascii="Consolas" w:hAnsi="Consolas"/>
              </w:rPr>
              <w:t>-</w:t>
            </w:r>
            <w:proofErr w:type="spellStart"/>
            <w:r w:rsidRPr="008463ED">
              <w:rPr>
                <w:rFonts w:ascii="Consolas" w:hAnsi="Consolas"/>
              </w:rPr>
              <w:t>lecia</w:t>
            </w:r>
            <w:proofErr w:type="spellEnd"/>
            <w:r w:rsidRPr="008463ED">
              <w:rPr>
                <w:rFonts w:ascii="Consolas" w:hAnsi="Consolas"/>
              </w:rPr>
              <w:t xml:space="preserve"> OI</w:t>
            </w:r>
            <w:r w:rsidR="00DF6A7D" w:rsidRPr="008463ED">
              <w:rPr>
                <w:rFonts w:ascii="Consolas" w:hAnsi="Consolas"/>
              </w:rPr>
              <w:t xml:space="preserve">, nagrody przy </w:t>
            </w:r>
            <w:proofErr w:type="spellStart"/>
            <w:r w:rsidR="00DF6A7D" w:rsidRPr="008463ED">
              <w:rPr>
                <w:rFonts w:ascii="Consolas" w:hAnsi="Consolas"/>
              </w:rPr>
              <w:t>FedCSIS</w:t>
            </w:r>
            <w:proofErr w:type="spellEnd"/>
            <w:r w:rsidR="00DF6A7D" w:rsidRPr="008463ED">
              <w:rPr>
                <w:rFonts w:ascii="Consolas" w:hAnsi="Consolas"/>
              </w:rPr>
              <w:t xml:space="preserve"> w konkursie Z.</w:t>
            </w:r>
            <w:r w:rsidR="000400CF" w:rsidRPr="008463ED">
              <w:rPr>
                <w:rFonts w:ascii="Consolas" w:hAnsi="Consolas"/>
              </w:rPr>
              <w:t xml:space="preserve"> </w:t>
            </w:r>
            <w:r w:rsidR="00DF6A7D" w:rsidRPr="008463ED">
              <w:rPr>
                <w:rFonts w:ascii="Consolas" w:hAnsi="Consolas"/>
              </w:rPr>
              <w:t xml:space="preserve">Pawlaka </w:t>
            </w:r>
            <w:r w:rsidRPr="008463ED">
              <w:rPr>
                <w:rFonts w:ascii="Consolas" w:hAnsi="Consolas"/>
              </w:rPr>
              <w:t xml:space="preserve">  </w:t>
            </w:r>
          </w:p>
        </w:tc>
      </w:tr>
      <w:tr w:rsidR="00D00480" w:rsidRPr="008463ED" w14:paraId="3B6CDD7A" w14:textId="77777777" w:rsidTr="00783D76">
        <w:trPr>
          <w:cantSplit/>
        </w:trPr>
        <w:tc>
          <w:tcPr>
            <w:tcW w:w="1121" w:type="dxa"/>
          </w:tcPr>
          <w:p w14:paraId="470C16CF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35D3DBD7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Kontynuacja i rozwój konkursów informatycznych (np. TIK?-TAK!, Pan TIK, Bóbr i inne). </w:t>
            </w:r>
          </w:p>
        </w:tc>
        <w:tc>
          <w:tcPr>
            <w:tcW w:w="6085" w:type="dxa"/>
          </w:tcPr>
          <w:p w14:paraId="1BA59C60" w14:textId="73B9280C" w:rsidR="00D00480" w:rsidRPr="008463ED" w:rsidRDefault="00D00480" w:rsidP="00F73F21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wykonywane</w:t>
            </w:r>
            <w:r w:rsidR="00E8694E" w:rsidRPr="008463ED">
              <w:rPr>
                <w:rFonts w:ascii="Consolas" w:hAnsi="Consolas"/>
              </w:rPr>
              <w:t xml:space="preserve"> (Bóbr), część konkursów nie jest kontynuowana - TIK?-TAK!, </w:t>
            </w:r>
            <w:r w:rsidR="00DF6A7D" w:rsidRPr="008463ED">
              <w:rPr>
                <w:rFonts w:ascii="Consolas" w:hAnsi="Consolas"/>
              </w:rPr>
              <w:t>Edukacja z Panem</w:t>
            </w:r>
            <w:r w:rsidR="00E8694E" w:rsidRPr="008463ED">
              <w:rPr>
                <w:rFonts w:ascii="Consolas" w:hAnsi="Consolas"/>
              </w:rPr>
              <w:t xml:space="preserve"> TIK</w:t>
            </w:r>
            <w:r w:rsidR="00F73F21">
              <w:rPr>
                <w:rFonts w:ascii="Consolas" w:hAnsi="Consolas"/>
              </w:rPr>
              <w:t>.</w:t>
            </w:r>
          </w:p>
        </w:tc>
      </w:tr>
      <w:tr w:rsidR="00D00480" w:rsidRPr="008463ED" w14:paraId="2E01BBE7" w14:textId="77777777" w:rsidTr="00783D76">
        <w:trPr>
          <w:cantSplit/>
        </w:trPr>
        <w:tc>
          <w:tcPr>
            <w:tcW w:w="1121" w:type="dxa"/>
          </w:tcPr>
          <w:p w14:paraId="5A79598D" w14:textId="77777777" w:rsidR="00D00480" w:rsidRPr="008463ED" w:rsidRDefault="00D00480" w:rsidP="00D00480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67" w:type="dxa"/>
          </w:tcPr>
          <w:p w14:paraId="7C6D53F4" w14:textId="77777777" w:rsidR="00D00480" w:rsidRPr="008463ED" w:rsidRDefault="00D00480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Wspieranie skierowanej na szkolnictwo akcji krzewienia myślenia algorytmicznego oraz podstaw programowania.</w:t>
            </w:r>
          </w:p>
        </w:tc>
        <w:tc>
          <w:tcPr>
            <w:tcW w:w="6085" w:type="dxa"/>
          </w:tcPr>
          <w:p w14:paraId="093AC0C3" w14:textId="62B7B90C" w:rsidR="00D00480" w:rsidRPr="008463ED" w:rsidRDefault="00E8694E" w:rsidP="00D0048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są wykonywane (konferencja „Informatyka w Edukacji”)</w:t>
            </w:r>
            <w:r w:rsidR="00664651" w:rsidRPr="008463ED">
              <w:rPr>
                <w:rFonts w:ascii="Consolas" w:hAnsi="Consolas"/>
              </w:rPr>
              <w:t xml:space="preserve">, został wdrożony nowy moduł ECDL S10 Podstawy programowania w języku </w:t>
            </w:r>
            <w:proofErr w:type="spellStart"/>
            <w:r w:rsidR="00664651" w:rsidRPr="008463ED">
              <w:rPr>
                <w:rFonts w:ascii="Consolas" w:hAnsi="Consolas"/>
              </w:rPr>
              <w:t>Python</w:t>
            </w:r>
            <w:proofErr w:type="spellEnd"/>
            <w:r w:rsidR="00664651" w:rsidRPr="008463ED">
              <w:rPr>
                <w:rFonts w:ascii="Consolas" w:hAnsi="Consolas"/>
              </w:rPr>
              <w:t xml:space="preserve"> oraz </w:t>
            </w:r>
            <w:proofErr w:type="spellStart"/>
            <w:r w:rsidR="00664651" w:rsidRPr="008463ED">
              <w:rPr>
                <w:rFonts w:ascii="Consolas" w:hAnsi="Consolas"/>
              </w:rPr>
              <w:t>Scratch</w:t>
            </w:r>
            <w:proofErr w:type="spellEnd"/>
          </w:p>
        </w:tc>
      </w:tr>
    </w:tbl>
    <w:p w14:paraId="13925633" w14:textId="50B54A3B" w:rsidR="00C25E7F" w:rsidRDefault="00C25E7F" w:rsidP="00C25E7F">
      <w:pPr>
        <w:widowControl/>
        <w:jc w:val="both"/>
        <w:rPr>
          <w:rFonts w:ascii="Consolas" w:hAnsi="Consolas" w:cs="Arial"/>
        </w:rPr>
      </w:pPr>
    </w:p>
    <w:p w14:paraId="55ED90F3" w14:textId="77777777" w:rsidR="00783D76" w:rsidRPr="008463ED" w:rsidRDefault="00783D76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23"/>
        <w:gridCol w:w="6357"/>
        <w:gridCol w:w="6093"/>
      </w:tblGrid>
      <w:tr w:rsidR="009044E4" w:rsidRPr="008463ED" w14:paraId="32985489" w14:textId="77777777" w:rsidTr="00783D76">
        <w:trPr>
          <w:cantSplit/>
        </w:trPr>
        <w:tc>
          <w:tcPr>
            <w:tcW w:w="1123" w:type="dxa"/>
          </w:tcPr>
          <w:p w14:paraId="7001AEBA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0B990B5C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Style w:val="Uwydatnienie"/>
                <w:rFonts w:ascii="Consolas" w:hAnsi="Consolas"/>
                <w:b/>
                <w:i w:val="0"/>
              </w:rPr>
              <w:t>Usługi – niezależne ekspertyzy i doradztwo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93" w:type="dxa"/>
          </w:tcPr>
          <w:p w14:paraId="09559095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7310B31C" w14:textId="77777777" w:rsidTr="00783D76">
        <w:trPr>
          <w:cantSplit/>
        </w:trPr>
        <w:tc>
          <w:tcPr>
            <w:tcW w:w="1123" w:type="dxa"/>
          </w:tcPr>
          <w:p w14:paraId="18EFCC49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427CCF0E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Realizacja zleceń urzędów centralnych, instytucji publicznych, jednostek samorządu terytorialnego oraz firm komercyjnych.</w:t>
            </w:r>
          </w:p>
        </w:tc>
        <w:tc>
          <w:tcPr>
            <w:tcW w:w="6093" w:type="dxa"/>
          </w:tcPr>
          <w:p w14:paraId="49203150" w14:textId="77777777" w:rsidR="009044E4" w:rsidRPr="008463ED" w:rsidRDefault="00E8694E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IR PTI</w:t>
            </w:r>
          </w:p>
        </w:tc>
      </w:tr>
      <w:tr w:rsidR="009044E4" w:rsidRPr="008463ED" w14:paraId="0B0D4117" w14:textId="77777777" w:rsidTr="00783D76">
        <w:trPr>
          <w:cantSplit/>
        </w:trPr>
        <w:tc>
          <w:tcPr>
            <w:tcW w:w="1123" w:type="dxa"/>
          </w:tcPr>
          <w:p w14:paraId="62B42C56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3515C02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Inicjowanie, wspieranie wspólnych projektów we współpracy administracji, uczelni i organizacji biznesowych.</w:t>
            </w:r>
          </w:p>
        </w:tc>
        <w:tc>
          <w:tcPr>
            <w:tcW w:w="6093" w:type="dxa"/>
          </w:tcPr>
          <w:p w14:paraId="1E786026" w14:textId="77777777" w:rsidR="009044E4" w:rsidRPr="008463ED" w:rsidRDefault="00E8694E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9044E4" w:rsidRPr="008463ED" w14:paraId="16DAB9D1" w14:textId="77777777" w:rsidTr="00783D76">
        <w:trPr>
          <w:cantSplit/>
        </w:trPr>
        <w:tc>
          <w:tcPr>
            <w:tcW w:w="1123" w:type="dxa"/>
          </w:tcPr>
          <w:p w14:paraId="1686B413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48B6F087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Nawiązanie współpracy z jednostkami samorządu terytorialnego. </w:t>
            </w:r>
          </w:p>
        </w:tc>
        <w:tc>
          <w:tcPr>
            <w:tcW w:w="6093" w:type="dxa"/>
          </w:tcPr>
          <w:p w14:paraId="2D364AA7" w14:textId="77777777" w:rsidR="009044E4" w:rsidRPr="008463ED" w:rsidRDefault="00E8694E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  <w:r w:rsidR="00645A70" w:rsidRPr="008463ED">
              <w:rPr>
                <w:rFonts w:ascii="Consolas" w:hAnsi="Consolas"/>
              </w:rPr>
              <w:t xml:space="preserve"> Oddział Łódzki nawiązał współpracę z Wydziałem Społeczeństwa Informacyjnego Urzędu Marszałkowskiego w Łodzi</w:t>
            </w:r>
          </w:p>
        </w:tc>
      </w:tr>
      <w:tr w:rsidR="00E8694E" w:rsidRPr="008463ED" w14:paraId="0D8DD208" w14:textId="77777777" w:rsidTr="00783D76">
        <w:trPr>
          <w:cantSplit/>
        </w:trPr>
        <w:tc>
          <w:tcPr>
            <w:tcW w:w="1123" w:type="dxa"/>
          </w:tcPr>
          <w:p w14:paraId="601755E6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7A4743A0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Ekspertyzy dla dostawców i odbiorców rozwiązań TIK z sektora biznesowego. </w:t>
            </w:r>
          </w:p>
        </w:tc>
        <w:tc>
          <w:tcPr>
            <w:tcW w:w="6093" w:type="dxa"/>
          </w:tcPr>
          <w:p w14:paraId="1AFA409F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wykonuje IR PTI</w:t>
            </w:r>
          </w:p>
        </w:tc>
      </w:tr>
      <w:tr w:rsidR="00E8694E" w:rsidRPr="008463ED" w14:paraId="34D6A7A3" w14:textId="77777777" w:rsidTr="00783D76">
        <w:trPr>
          <w:cantSplit/>
        </w:trPr>
        <w:tc>
          <w:tcPr>
            <w:tcW w:w="1123" w:type="dxa"/>
          </w:tcPr>
          <w:p w14:paraId="14BF2E36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055C9507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z firmami informatycznymi – organizacja spotkań z ich udziałem, prezentacja ich dokonań, potrzeb, planów na przyszłość.</w:t>
            </w:r>
          </w:p>
        </w:tc>
        <w:tc>
          <w:tcPr>
            <w:tcW w:w="6093" w:type="dxa"/>
          </w:tcPr>
          <w:p w14:paraId="4BCDE4FD" w14:textId="77777777" w:rsidR="00E8694E" w:rsidRPr="008463ED" w:rsidRDefault="000F40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podjęta, choć pewne formy takiej współpracy dotyczą działań Rady Sektorowej</w:t>
            </w:r>
            <w:r w:rsidR="00645A70" w:rsidRPr="008463ED">
              <w:rPr>
                <w:rFonts w:ascii="Consolas" w:hAnsi="Consolas"/>
              </w:rPr>
              <w:t xml:space="preserve"> – udział w SBKL, organizacja warsztatu.</w:t>
            </w:r>
          </w:p>
        </w:tc>
      </w:tr>
      <w:tr w:rsidR="00E8694E" w:rsidRPr="008463ED" w14:paraId="6FC6CCAC" w14:textId="77777777" w:rsidTr="00783D76">
        <w:trPr>
          <w:cantSplit/>
        </w:trPr>
        <w:tc>
          <w:tcPr>
            <w:tcW w:w="1123" w:type="dxa"/>
          </w:tcPr>
          <w:p w14:paraId="29E9D702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0AEA2373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Współpraca partnerska z organizatorami konferencji ogólnopolskich i regionalnych oraz wydarzeń branżowych i informatycznych, a także z firmami medialnymi.</w:t>
            </w:r>
          </w:p>
        </w:tc>
        <w:tc>
          <w:tcPr>
            <w:tcW w:w="6093" w:type="dxa"/>
          </w:tcPr>
          <w:p w14:paraId="535E9D56" w14:textId="3D42F87F" w:rsidR="00E8694E" w:rsidRPr="008463ED" w:rsidRDefault="000F40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  <w:r w:rsidR="009D28AA" w:rsidRPr="008463ED">
              <w:rPr>
                <w:rFonts w:ascii="Consolas" w:hAnsi="Consolas"/>
              </w:rPr>
              <w:t xml:space="preserve"> Sektorowa Rada współorganizuje </w:t>
            </w:r>
            <w:proofErr w:type="spellStart"/>
            <w:r w:rsidR="009D28AA" w:rsidRPr="008463ED">
              <w:rPr>
                <w:rFonts w:ascii="Consolas" w:hAnsi="Consolas"/>
              </w:rPr>
              <w:t>Edumixer</w:t>
            </w:r>
            <w:proofErr w:type="spellEnd"/>
            <w:r w:rsidR="009D28AA" w:rsidRPr="008463ED">
              <w:rPr>
                <w:rFonts w:ascii="Consolas" w:hAnsi="Consolas"/>
              </w:rPr>
              <w:t>, panel na Forum Teleinformatyki w Miedzeszynie.</w:t>
            </w:r>
            <w:r w:rsidR="00DF6A7D" w:rsidRPr="008463ED">
              <w:rPr>
                <w:rFonts w:ascii="Consolas" w:hAnsi="Consolas"/>
              </w:rPr>
              <w:t xml:space="preserve"> Udział w debatach, </w:t>
            </w:r>
            <w:r w:rsidR="000400CF" w:rsidRPr="008463ED">
              <w:rPr>
                <w:rFonts w:ascii="Consolas" w:hAnsi="Consolas"/>
              </w:rPr>
              <w:t>panelach</w:t>
            </w:r>
            <w:r w:rsidR="00DF6A7D" w:rsidRPr="008463ED">
              <w:rPr>
                <w:rFonts w:ascii="Consolas" w:hAnsi="Consolas"/>
              </w:rPr>
              <w:t xml:space="preserve"> oraz wykłady członków PTI w związku z udzielonymi patronatami</w:t>
            </w:r>
          </w:p>
        </w:tc>
      </w:tr>
      <w:tr w:rsidR="00E8694E" w:rsidRPr="008463ED" w14:paraId="4445553F" w14:textId="77777777" w:rsidTr="00783D76">
        <w:trPr>
          <w:cantSplit/>
        </w:trPr>
        <w:tc>
          <w:tcPr>
            <w:tcW w:w="1123" w:type="dxa"/>
          </w:tcPr>
          <w:p w14:paraId="38A6D9EC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7402FAE3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Wspólne projekty wykorzystujące potencjał Izby Rzeczoznawców i ECDL. </w:t>
            </w:r>
          </w:p>
        </w:tc>
        <w:tc>
          <w:tcPr>
            <w:tcW w:w="6093" w:type="dxa"/>
          </w:tcPr>
          <w:p w14:paraId="315FD399" w14:textId="21425384" w:rsidR="00E8694E" w:rsidRPr="008463ED" w:rsidRDefault="00092D69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E8694E" w:rsidRPr="008463ED" w14:paraId="3CD63CE3" w14:textId="77777777" w:rsidTr="00783D76">
        <w:trPr>
          <w:cantSplit/>
        </w:trPr>
        <w:tc>
          <w:tcPr>
            <w:tcW w:w="1123" w:type="dxa"/>
          </w:tcPr>
          <w:p w14:paraId="32E4225C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75070068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Realizacja projektów regionalnych przez oddziały i koła w zakresie Izby Rzeczoznawców i certyfikacji. </w:t>
            </w:r>
          </w:p>
        </w:tc>
        <w:tc>
          <w:tcPr>
            <w:tcW w:w="6093" w:type="dxa"/>
          </w:tcPr>
          <w:p w14:paraId="28A77F95" w14:textId="088AABE0" w:rsidR="00E8694E" w:rsidRPr="008463ED" w:rsidRDefault="00092D69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E8694E" w:rsidRPr="008463ED" w14:paraId="707ED147" w14:textId="77777777" w:rsidTr="00783D76">
        <w:trPr>
          <w:cantSplit/>
        </w:trPr>
        <w:tc>
          <w:tcPr>
            <w:tcW w:w="1123" w:type="dxa"/>
          </w:tcPr>
          <w:p w14:paraId="01EAAE6E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23325CE6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Realizacja wspólnych projektów ponadregionalnych w zakresie Izby Rzeczoznawców i certyfikacji.</w:t>
            </w:r>
          </w:p>
        </w:tc>
        <w:tc>
          <w:tcPr>
            <w:tcW w:w="6093" w:type="dxa"/>
          </w:tcPr>
          <w:p w14:paraId="5E229A1A" w14:textId="5C52DAE0" w:rsidR="00E8694E" w:rsidRPr="008463ED" w:rsidRDefault="00092D69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Działania wykonuje IR PTI </w:t>
            </w:r>
          </w:p>
        </w:tc>
      </w:tr>
      <w:tr w:rsidR="00E8694E" w:rsidRPr="008463ED" w14:paraId="13450EC0" w14:textId="77777777" w:rsidTr="00783D76">
        <w:trPr>
          <w:cantSplit/>
        </w:trPr>
        <w:tc>
          <w:tcPr>
            <w:tcW w:w="1123" w:type="dxa"/>
          </w:tcPr>
          <w:p w14:paraId="4C2F77F8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541A4394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Zbudowanie bazy wiedzy metodycznej i merytorycznej dla działalności Izby Rzeczoznawców. </w:t>
            </w:r>
          </w:p>
        </w:tc>
        <w:tc>
          <w:tcPr>
            <w:tcW w:w="6093" w:type="dxa"/>
          </w:tcPr>
          <w:p w14:paraId="0E9F607B" w14:textId="77777777" w:rsidR="00E8694E" w:rsidRPr="008463ED" w:rsidRDefault="000F40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E8694E" w:rsidRPr="008463ED" w14:paraId="2AB6E72A" w14:textId="77777777" w:rsidTr="00783D76">
        <w:trPr>
          <w:cantSplit/>
        </w:trPr>
        <w:tc>
          <w:tcPr>
            <w:tcW w:w="1123" w:type="dxa"/>
          </w:tcPr>
          <w:p w14:paraId="5B539AD7" w14:textId="77777777" w:rsidR="00E8694E" w:rsidRPr="008463ED" w:rsidRDefault="00E8694E" w:rsidP="00E8694E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357" w:type="dxa"/>
          </w:tcPr>
          <w:p w14:paraId="316801B3" w14:textId="77777777" w:rsidR="00E8694E" w:rsidRPr="008463ED" w:rsidRDefault="00E8694E" w:rsidP="00E8694E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Rozwój regionalnych struktur Izby Rzeczoznawców PTI.</w:t>
            </w:r>
          </w:p>
        </w:tc>
        <w:tc>
          <w:tcPr>
            <w:tcW w:w="6093" w:type="dxa"/>
          </w:tcPr>
          <w:p w14:paraId="7E15F076" w14:textId="77777777" w:rsidR="00E8694E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Pomimo umocowania organizacyjnego (regulamin) tzw. TEREN nie funkcjonuje</w:t>
            </w:r>
          </w:p>
        </w:tc>
      </w:tr>
    </w:tbl>
    <w:p w14:paraId="45CEF952" w14:textId="77777777" w:rsidR="00C25E7F" w:rsidRPr="008463ED" w:rsidRDefault="00C25E7F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13573" w:type="dxa"/>
        <w:tblInd w:w="421" w:type="dxa"/>
        <w:tblLook w:val="04A0" w:firstRow="1" w:lastRow="0" w:firstColumn="1" w:lastColumn="0" w:noHBand="0" w:noVBand="1"/>
      </w:tblPr>
      <w:tblGrid>
        <w:gridCol w:w="1116"/>
        <w:gridCol w:w="6408"/>
        <w:gridCol w:w="6049"/>
      </w:tblGrid>
      <w:tr w:rsidR="009044E4" w:rsidRPr="008463ED" w14:paraId="767AC1EE" w14:textId="77777777" w:rsidTr="00783D76">
        <w:trPr>
          <w:cantSplit/>
        </w:trPr>
        <w:tc>
          <w:tcPr>
            <w:tcW w:w="1116" w:type="dxa"/>
          </w:tcPr>
          <w:p w14:paraId="303F8812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1053E6BF" w14:textId="77777777" w:rsidR="009044E4" w:rsidRPr="008463ED" w:rsidRDefault="009044E4" w:rsidP="009044E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8463ED">
              <w:rPr>
                <w:rFonts w:ascii="Consolas" w:hAnsi="Consolas" w:cs="Arial"/>
                <w:b/>
              </w:rPr>
              <w:t>„</w:t>
            </w:r>
            <w:r w:rsidRPr="008463ED">
              <w:rPr>
                <w:rFonts w:ascii="Consolas" w:hAnsi="Consolas"/>
                <w:b/>
                <w:iCs/>
              </w:rPr>
              <w:t>Społeczeństwo – technologie, obywatele, prawo, państwo</w:t>
            </w:r>
            <w:r w:rsidRPr="008463ED">
              <w:rPr>
                <w:rFonts w:ascii="Consolas" w:hAnsi="Consolas" w:cs="Arial"/>
                <w:b/>
              </w:rPr>
              <w:t>”</w:t>
            </w:r>
          </w:p>
        </w:tc>
        <w:tc>
          <w:tcPr>
            <w:tcW w:w="6049" w:type="dxa"/>
          </w:tcPr>
          <w:p w14:paraId="7DC7D672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Podjęte działania, głownie w kadencji 2017-2020</w:t>
            </w:r>
          </w:p>
        </w:tc>
      </w:tr>
      <w:tr w:rsidR="009044E4" w:rsidRPr="008463ED" w14:paraId="2DCBD3B4" w14:textId="77777777" w:rsidTr="00783D76">
        <w:trPr>
          <w:cantSplit/>
        </w:trPr>
        <w:tc>
          <w:tcPr>
            <w:tcW w:w="1116" w:type="dxa"/>
          </w:tcPr>
          <w:p w14:paraId="5E6EC4AA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5A7B9BAD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Promocja PTI w środowiskach nauki, administracji i biznesu. </w:t>
            </w:r>
          </w:p>
        </w:tc>
        <w:tc>
          <w:tcPr>
            <w:tcW w:w="6049" w:type="dxa"/>
          </w:tcPr>
          <w:p w14:paraId="53102798" w14:textId="43D78300" w:rsidR="009044E4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Działania są wykonywane, m.in. w ramach ŚDSI</w:t>
            </w:r>
            <w:r w:rsidR="000400CF" w:rsidRPr="008463ED">
              <w:rPr>
                <w:rFonts w:ascii="Consolas" w:hAnsi="Consolas"/>
              </w:rPr>
              <w:t>,</w:t>
            </w:r>
            <w:r w:rsidR="00DF6A7D" w:rsidRPr="008463ED">
              <w:rPr>
                <w:rFonts w:ascii="Consolas" w:hAnsi="Consolas"/>
              </w:rPr>
              <w:t xml:space="preserve"> w tym INFOSTAT </w:t>
            </w:r>
            <w:r w:rsidRPr="008463ED">
              <w:rPr>
                <w:rFonts w:ascii="Consolas" w:hAnsi="Consolas"/>
              </w:rPr>
              <w:t>, obchodów 70-lecia Polskiej Informatyki, medale 70-lecia</w:t>
            </w:r>
            <w:r w:rsidR="00DF6A7D" w:rsidRPr="008463ED">
              <w:rPr>
                <w:rFonts w:ascii="Consolas" w:hAnsi="Consolas"/>
              </w:rPr>
              <w:t xml:space="preserve">, nagrody </w:t>
            </w:r>
            <w:proofErr w:type="spellStart"/>
            <w:r w:rsidR="00DF6A7D" w:rsidRPr="008463ED">
              <w:rPr>
                <w:rFonts w:ascii="Consolas" w:hAnsi="Consolas"/>
              </w:rPr>
              <w:t>Infostar</w:t>
            </w:r>
            <w:proofErr w:type="spellEnd"/>
          </w:p>
        </w:tc>
      </w:tr>
      <w:tr w:rsidR="009044E4" w:rsidRPr="008463ED" w14:paraId="18489F74" w14:textId="77777777" w:rsidTr="00783D76">
        <w:trPr>
          <w:cantSplit/>
        </w:trPr>
        <w:tc>
          <w:tcPr>
            <w:tcW w:w="1116" w:type="dxa"/>
          </w:tcPr>
          <w:p w14:paraId="7F855FED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ABE088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Popularyzacja różnych kategorii rozwiązań, w tym opartych na licencjach otwartych. </w:t>
            </w:r>
          </w:p>
        </w:tc>
        <w:tc>
          <w:tcPr>
            <w:tcW w:w="6049" w:type="dxa"/>
          </w:tcPr>
          <w:p w14:paraId="2758E4A7" w14:textId="77777777" w:rsidR="009044E4" w:rsidRPr="008463ED" w:rsidRDefault="00D126C0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w zasadzie nie została podjęta.</w:t>
            </w:r>
          </w:p>
        </w:tc>
      </w:tr>
      <w:tr w:rsidR="009044E4" w:rsidRPr="008463ED" w14:paraId="6F039424" w14:textId="77777777" w:rsidTr="00783D76">
        <w:trPr>
          <w:cantSplit/>
        </w:trPr>
        <w:tc>
          <w:tcPr>
            <w:tcW w:w="1116" w:type="dxa"/>
          </w:tcPr>
          <w:p w14:paraId="3519F53D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FE205AB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Opiniowanie dotyczące zagadnień informatycznych z szerszym włączeniem do tego przedsięwzięcia członków PTI z przedsiębiorstw i uczelni.</w:t>
            </w:r>
          </w:p>
        </w:tc>
        <w:tc>
          <w:tcPr>
            <w:tcW w:w="6049" w:type="dxa"/>
          </w:tcPr>
          <w:p w14:paraId="5D004929" w14:textId="77777777" w:rsidR="009044E4" w:rsidRPr="008463ED" w:rsidRDefault="00D126C0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wykonywane, ale w obecnej kadencji w znikomym wymiarze</w:t>
            </w:r>
          </w:p>
        </w:tc>
      </w:tr>
      <w:tr w:rsidR="009044E4" w:rsidRPr="008463ED" w14:paraId="3B9506C1" w14:textId="77777777" w:rsidTr="00783D76">
        <w:trPr>
          <w:cantSplit/>
        </w:trPr>
        <w:tc>
          <w:tcPr>
            <w:tcW w:w="1116" w:type="dxa"/>
          </w:tcPr>
          <w:p w14:paraId="775718A5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63595D9D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Powołanie profesjonalnego zespołu opiniodawczego w zakresie regulacji prawnych dotyczących informatyki i teleinformatyki. </w:t>
            </w:r>
          </w:p>
        </w:tc>
        <w:tc>
          <w:tcPr>
            <w:tcW w:w="6049" w:type="dxa"/>
          </w:tcPr>
          <w:p w14:paraId="76692A9F" w14:textId="77777777" w:rsidR="009044E4" w:rsidRPr="008463ED" w:rsidRDefault="00D126C0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9044E4" w:rsidRPr="008463ED" w14:paraId="61B6D684" w14:textId="77777777" w:rsidTr="00783D76">
        <w:trPr>
          <w:cantSplit/>
        </w:trPr>
        <w:tc>
          <w:tcPr>
            <w:tcW w:w="1116" w:type="dxa"/>
          </w:tcPr>
          <w:p w14:paraId="5F30F0A7" w14:textId="77777777" w:rsidR="009044E4" w:rsidRPr="008463ED" w:rsidRDefault="009044E4" w:rsidP="009044E4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738D2F00" w14:textId="77777777" w:rsidR="009044E4" w:rsidRPr="008463ED" w:rsidRDefault="009044E4" w:rsidP="009044E4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Zapraszanie do uczestnictwa w blokach tematycznych dotyczących regulacji prawnych konferencji i seminariów organizowanych przez PTI przedstawicieli administracji i władz centralnych oraz lokalnych.</w:t>
            </w:r>
          </w:p>
        </w:tc>
        <w:tc>
          <w:tcPr>
            <w:tcW w:w="6049" w:type="dxa"/>
          </w:tcPr>
          <w:p w14:paraId="0A510844" w14:textId="77777777" w:rsidR="009044E4" w:rsidRPr="008463ED" w:rsidRDefault="00D126C0" w:rsidP="00DF6A7D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wykonywane, m.in. w ramach ŚDSI</w:t>
            </w:r>
            <w:r w:rsidR="00DF6A7D" w:rsidRPr="008463ED">
              <w:rPr>
                <w:rFonts w:ascii="Consolas" w:hAnsi="Consolas"/>
              </w:rPr>
              <w:t xml:space="preserve"> oraz innych konferencji, seminariów</w:t>
            </w:r>
          </w:p>
        </w:tc>
      </w:tr>
      <w:tr w:rsidR="00D126C0" w:rsidRPr="008463ED" w14:paraId="722B9B2C" w14:textId="77777777" w:rsidTr="00783D76">
        <w:trPr>
          <w:cantSplit/>
        </w:trPr>
        <w:tc>
          <w:tcPr>
            <w:tcW w:w="1116" w:type="dxa"/>
          </w:tcPr>
          <w:p w14:paraId="3E508089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15FE7E7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Cykliczne opracowywanie raportów i stanowisk przedstawiających aktualny stan polskiej informatyki oraz edukacji informatycznej i prognozy na przyszłość, dostępnych na witrynie PTI.</w:t>
            </w:r>
          </w:p>
        </w:tc>
        <w:tc>
          <w:tcPr>
            <w:tcW w:w="6049" w:type="dxa"/>
          </w:tcPr>
          <w:p w14:paraId="4750647B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D126C0" w:rsidRPr="008463ED" w14:paraId="4E59DD74" w14:textId="77777777" w:rsidTr="00783D76">
        <w:trPr>
          <w:cantSplit/>
        </w:trPr>
        <w:tc>
          <w:tcPr>
            <w:tcW w:w="1116" w:type="dxa"/>
          </w:tcPr>
          <w:p w14:paraId="0DECD4AF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51A7EE0D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Popularyzacja opinii, raportów i stanowisk PTI.</w:t>
            </w:r>
          </w:p>
        </w:tc>
        <w:tc>
          <w:tcPr>
            <w:tcW w:w="6049" w:type="dxa"/>
          </w:tcPr>
          <w:p w14:paraId="32645692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  <w:tr w:rsidR="00D126C0" w:rsidRPr="008463ED" w14:paraId="75971C55" w14:textId="77777777" w:rsidTr="00783D76">
        <w:trPr>
          <w:cantSplit/>
        </w:trPr>
        <w:tc>
          <w:tcPr>
            <w:tcW w:w="1116" w:type="dxa"/>
          </w:tcPr>
          <w:p w14:paraId="689190BE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336AAE8D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Współpraca z organizacjami informatycznymi przy tworzeniu opinii. </w:t>
            </w:r>
          </w:p>
        </w:tc>
        <w:tc>
          <w:tcPr>
            <w:tcW w:w="6049" w:type="dxa"/>
          </w:tcPr>
          <w:p w14:paraId="1EB735C9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wykonywane, ale w zasadzie tylko we współpracy z PIIT</w:t>
            </w:r>
          </w:p>
        </w:tc>
      </w:tr>
      <w:tr w:rsidR="00D126C0" w:rsidRPr="008463ED" w14:paraId="0F0697ED" w14:textId="77777777" w:rsidTr="00783D76">
        <w:trPr>
          <w:cantSplit/>
        </w:trPr>
        <w:tc>
          <w:tcPr>
            <w:tcW w:w="1116" w:type="dxa"/>
          </w:tcPr>
          <w:p w14:paraId="4126F18C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0E0D6DB1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Propagowanie Kodeksu Zawodowego Informatyka (Kodeksu Etycznego PTI).</w:t>
            </w:r>
          </w:p>
        </w:tc>
        <w:tc>
          <w:tcPr>
            <w:tcW w:w="6049" w:type="dxa"/>
          </w:tcPr>
          <w:p w14:paraId="3435CD02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 xml:space="preserve">Kwestia w zasadzie nie została podjęta, poza indywidualnymi przypadkami prezentowania kodeksu w ramach programu nauczania w szkołach wyższych </w:t>
            </w:r>
          </w:p>
        </w:tc>
      </w:tr>
      <w:tr w:rsidR="00D126C0" w:rsidRPr="008463ED" w14:paraId="3D7A1B97" w14:textId="77777777" w:rsidTr="00783D76">
        <w:trPr>
          <w:cantSplit/>
        </w:trPr>
        <w:tc>
          <w:tcPr>
            <w:tcW w:w="1116" w:type="dxa"/>
          </w:tcPr>
          <w:p w14:paraId="0AFF1C8B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77F6B1DF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Kontynuacja i rozwój konferencji towarzystwa.</w:t>
            </w:r>
          </w:p>
        </w:tc>
        <w:tc>
          <w:tcPr>
            <w:tcW w:w="6049" w:type="dxa"/>
          </w:tcPr>
          <w:p w14:paraId="4E12ACC0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Jest wykonywane</w:t>
            </w:r>
          </w:p>
        </w:tc>
      </w:tr>
      <w:tr w:rsidR="00D126C0" w:rsidRPr="008463ED" w14:paraId="587E95F9" w14:textId="77777777" w:rsidTr="00783D76">
        <w:trPr>
          <w:cantSplit/>
        </w:trPr>
        <w:tc>
          <w:tcPr>
            <w:tcW w:w="1116" w:type="dxa"/>
          </w:tcPr>
          <w:p w14:paraId="10814188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49BBB16F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Udział w przedsięwzięciach na nową perspektywę unijną.</w:t>
            </w:r>
          </w:p>
        </w:tc>
        <w:tc>
          <w:tcPr>
            <w:tcW w:w="6049" w:type="dxa"/>
          </w:tcPr>
          <w:p w14:paraId="4092BD8D" w14:textId="77777777" w:rsidR="00D126C0" w:rsidRPr="008463ED" w:rsidRDefault="00D126C0" w:rsidP="00B64475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w zasadzie nie została podjęta.</w:t>
            </w:r>
            <w:r w:rsidR="009D28AA" w:rsidRPr="008463ED">
              <w:rPr>
                <w:rFonts w:ascii="Consolas" w:hAnsi="Consolas"/>
              </w:rPr>
              <w:t xml:space="preserve"> Składane są </w:t>
            </w:r>
            <w:r w:rsidR="000238DB" w:rsidRPr="008463ED">
              <w:rPr>
                <w:rFonts w:ascii="Consolas" w:hAnsi="Consolas"/>
              </w:rPr>
              <w:t xml:space="preserve">wnioski o dofinansowanie np. w partnerstwie z fundacją e-Szkoła na konkurs 3.2 POPC i na konkurs 3.1 POPC, w partnerstwie z PIIT na Sektorową Radę ds. Telekomunikacji na konkurs </w:t>
            </w:r>
            <w:r w:rsidR="00B64475" w:rsidRPr="008463ED">
              <w:rPr>
                <w:rFonts w:ascii="Consolas" w:hAnsi="Consolas"/>
              </w:rPr>
              <w:t>2.12</w:t>
            </w:r>
            <w:r w:rsidR="000238DB" w:rsidRPr="008463ED">
              <w:rPr>
                <w:rFonts w:ascii="Consolas" w:hAnsi="Consolas"/>
              </w:rPr>
              <w:t xml:space="preserve"> POWER, w partnerstwie z KIG na konkurs </w:t>
            </w:r>
            <w:r w:rsidR="00B64475" w:rsidRPr="008463ED">
              <w:rPr>
                <w:rFonts w:ascii="Consolas" w:hAnsi="Consolas"/>
              </w:rPr>
              <w:t>2.21</w:t>
            </w:r>
            <w:r w:rsidR="000238DB" w:rsidRPr="008463ED">
              <w:rPr>
                <w:rFonts w:ascii="Consolas" w:hAnsi="Consolas"/>
              </w:rPr>
              <w:t xml:space="preserve"> na szkolenia z rekomendacji Rad Sektorowych.</w:t>
            </w:r>
          </w:p>
        </w:tc>
      </w:tr>
      <w:tr w:rsidR="00D126C0" w:rsidRPr="008463ED" w14:paraId="7F9C8663" w14:textId="77777777" w:rsidTr="00783D76">
        <w:trPr>
          <w:cantSplit/>
        </w:trPr>
        <w:tc>
          <w:tcPr>
            <w:tcW w:w="1116" w:type="dxa"/>
          </w:tcPr>
          <w:p w14:paraId="0B4C63CD" w14:textId="77777777" w:rsidR="00D126C0" w:rsidRPr="008463ED" w:rsidRDefault="00D126C0" w:rsidP="00D126C0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408" w:type="dxa"/>
          </w:tcPr>
          <w:p w14:paraId="0C9D69FF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Uczestniczenie w procesie rozpowszechniania narzędzi TIK w podnoszeniu jakości życia osób niepełnosprawnych i trzeciego wieku (wirtualny uniwersytet III wieku).</w:t>
            </w:r>
          </w:p>
        </w:tc>
        <w:tc>
          <w:tcPr>
            <w:tcW w:w="6049" w:type="dxa"/>
          </w:tcPr>
          <w:p w14:paraId="0DF809CC" w14:textId="77777777" w:rsidR="00D126C0" w:rsidRPr="008463ED" w:rsidRDefault="00D126C0" w:rsidP="00D126C0">
            <w:pPr>
              <w:widowControl/>
              <w:autoSpaceDE/>
              <w:autoSpaceDN/>
              <w:adjustRightInd/>
              <w:spacing w:after="60"/>
              <w:ind w:left="-41"/>
              <w:jc w:val="both"/>
              <w:rPr>
                <w:rFonts w:ascii="Consolas" w:hAnsi="Consolas"/>
              </w:rPr>
            </w:pPr>
            <w:r w:rsidRPr="008463ED">
              <w:rPr>
                <w:rFonts w:ascii="Consolas" w:hAnsi="Consolas"/>
              </w:rPr>
              <w:t>Kwestia nie została podjęta.</w:t>
            </w:r>
          </w:p>
        </w:tc>
      </w:tr>
    </w:tbl>
    <w:p w14:paraId="32DC7568" w14:textId="77777777" w:rsidR="00C25E7F" w:rsidRPr="008463ED" w:rsidRDefault="00C25E7F" w:rsidP="00C25E7F">
      <w:pPr>
        <w:widowControl/>
        <w:jc w:val="both"/>
        <w:rPr>
          <w:rFonts w:ascii="Consolas" w:hAnsi="Consolas" w:cs="Arial"/>
        </w:rPr>
      </w:pPr>
    </w:p>
    <w:p w14:paraId="297754EB" w14:textId="4AA9AEA7" w:rsidR="00D126C0" w:rsidRDefault="00D126C0" w:rsidP="00743257">
      <w:pPr>
        <w:widowControl/>
        <w:jc w:val="both"/>
        <w:rPr>
          <w:rFonts w:ascii="Consolas" w:hAnsi="Consolas" w:cs="Arial"/>
        </w:rPr>
      </w:pPr>
      <w:r w:rsidRPr="008463ED">
        <w:rPr>
          <w:rFonts w:ascii="Consolas" w:hAnsi="Consolas" w:cs="Arial"/>
        </w:rPr>
        <w:t>Opracowanie wersji roboczej: Janusz Dorożyński, wiceprezes PTI</w:t>
      </w:r>
      <w:r w:rsidR="00C307E2">
        <w:rPr>
          <w:rFonts w:ascii="Consolas" w:hAnsi="Consolas" w:cs="Arial"/>
        </w:rPr>
        <w:t xml:space="preserve">, </w:t>
      </w:r>
      <w:r w:rsidRPr="008463ED">
        <w:rPr>
          <w:rFonts w:ascii="Consolas" w:hAnsi="Consolas" w:cs="Arial"/>
        </w:rPr>
        <w:t>2019-09-05</w:t>
      </w:r>
    </w:p>
    <w:p w14:paraId="6A9E21BF" w14:textId="649ED4E5" w:rsidR="00C307E2" w:rsidRPr="008463ED" w:rsidRDefault="00C307E2" w:rsidP="00743257">
      <w:pPr>
        <w:widowControl/>
        <w:jc w:val="both"/>
        <w:rPr>
          <w:rFonts w:ascii="Consolas" w:hAnsi="Consolas" w:cs="Arial"/>
        </w:rPr>
      </w:pPr>
      <w:r>
        <w:rPr>
          <w:rFonts w:ascii="Consolas" w:hAnsi="Consolas" w:cs="Arial"/>
        </w:rPr>
        <w:t>Opracowani</w:t>
      </w:r>
      <w:r w:rsidR="00EE1E8F">
        <w:rPr>
          <w:rFonts w:ascii="Consolas" w:hAnsi="Consolas" w:cs="Arial"/>
        </w:rPr>
        <w:t>e</w:t>
      </w:r>
      <w:bookmarkStart w:id="0" w:name="_GoBack"/>
      <w:bookmarkEnd w:id="0"/>
      <w:r>
        <w:rPr>
          <w:rFonts w:ascii="Consolas" w:hAnsi="Consolas" w:cs="Arial"/>
        </w:rPr>
        <w:t xml:space="preserve"> wersji 2’1 – dodanie </w:t>
      </w:r>
      <w:r w:rsidR="00EE1E8F">
        <w:rPr>
          <w:rFonts w:ascii="Consolas" w:hAnsi="Consolas" w:cs="Arial"/>
        </w:rPr>
        <w:t xml:space="preserve">niezamierzenie </w:t>
      </w:r>
      <w:r>
        <w:rPr>
          <w:rFonts w:ascii="Consolas" w:hAnsi="Consolas" w:cs="Arial"/>
        </w:rPr>
        <w:t>opuszczonych działań K-II</w:t>
      </w:r>
      <w:r w:rsidR="00EE1E8F">
        <w:rPr>
          <w:rFonts w:ascii="Consolas" w:hAnsi="Consolas" w:cs="Arial"/>
        </w:rPr>
        <w:t>.7 do 12</w:t>
      </w:r>
      <w:r>
        <w:rPr>
          <w:rFonts w:ascii="Consolas" w:hAnsi="Consolas" w:cs="Arial"/>
        </w:rPr>
        <w:t xml:space="preserve">: </w:t>
      </w:r>
      <w:r w:rsidRPr="008463ED">
        <w:rPr>
          <w:rFonts w:ascii="Consolas" w:hAnsi="Consolas" w:cs="Arial"/>
        </w:rPr>
        <w:t>Janusz Dorożyński, wiceprezes PTI</w:t>
      </w:r>
      <w:r>
        <w:rPr>
          <w:rFonts w:ascii="Consolas" w:hAnsi="Consolas" w:cs="Arial"/>
        </w:rPr>
        <w:t>, 2019-09-10</w:t>
      </w:r>
    </w:p>
    <w:p w14:paraId="7B8A054A" w14:textId="77777777" w:rsidR="00532BD0" w:rsidRDefault="00532BD0" w:rsidP="00743257">
      <w:pPr>
        <w:widowControl/>
        <w:jc w:val="both"/>
        <w:rPr>
          <w:rFonts w:ascii="Consolas" w:hAnsi="Consolas" w:cs="Arial"/>
        </w:rPr>
      </w:pPr>
    </w:p>
    <w:p w14:paraId="6F3C6784" w14:textId="0725B416" w:rsidR="00A247D7" w:rsidRPr="008463ED" w:rsidRDefault="00A247D7" w:rsidP="00743257">
      <w:pPr>
        <w:widowControl/>
        <w:jc w:val="both"/>
        <w:rPr>
          <w:rFonts w:ascii="Consolas" w:hAnsi="Consolas" w:cs="Arial"/>
        </w:rPr>
      </w:pPr>
      <w:r w:rsidRPr="008463ED">
        <w:rPr>
          <w:rFonts w:ascii="Consolas" w:hAnsi="Consolas" w:cs="Arial"/>
        </w:rPr>
        <w:t>Zmiany/uzupełnienia wykonane: Ewa Lisowska, PB ECDL</w:t>
      </w:r>
      <w:r w:rsidR="00532BD0">
        <w:rPr>
          <w:rFonts w:ascii="Consolas" w:hAnsi="Consolas" w:cs="Arial"/>
        </w:rPr>
        <w:t xml:space="preserve">; </w:t>
      </w:r>
      <w:r w:rsidRPr="008463ED">
        <w:rPr>
          <w:rFonts w:ascii="Consolas" w:hAnsi="Consolas" w:cs="Arial"/>
        </w:rPr>
        <w:t>2019-09-06</w:t>
      </w:r>
    </w:p>
    <w:p w14:paraId="26D35F88" w14:textId="77777777" w:rsidR="00532BD0" w:rsidRDefault="00532BD0" w:rsidP="00743257">
      <w:pPr>
        <w:widowControl/>
        <w:jc w:val="both"/>
        <w:rPr>
          <w:rFonts w:ascii="Consolas" w:hAnsi="Consolas" w:cs="Consolas"/>
        </w:rPr>
      </w:pPr>
    </w:p>
    <w:p w14:paraId="16EA87E8" w14:textId="2E56D165" w:rsidR="00092D69" w:rsidRPr="008463ED" w:rsidRDefault="00092D69" w:rsidP="00743257">
      <w:pPr>
        <w:widowControl/>
        <w:jc w:val="both"/>
        <w:rPr>
          <w:rFonts w:ascii="Consolas" w:hAnsi="Consolas" w:cs="Consolas"/>
        </w:rPr>
      </w:pPr>
      <w:r w:rsidRPr="008463ED">
        <w:rPr>
          <w:rFonts w:ascii="Consolas" w:hAnsi="Consolas" w:cs="Consolas"/>
        </w:rPr>
        <w:t xml:space="preserve">Zmiany/uzupełnienia wykonane: Dominika Sachowicz-Wołek, </w:t>
      </w:r>
      <w:r w:rsidR="00532BD0">
        <w:rPr>
          <w:rFonts w:ascii="Consolas" w:hAnsi="Consolas" w:cs="Consolas"/>
        </w:rPr>
        <w:t>s</w:t>
      </w:r>
      <w:r w:rsidRPr="008463ED">
        <w:rPr>
          <w:rFonts w:ascii="Consolas" w:hAnsi="Consolas" w:cs="Consolas"/>
        </w:rPr>
        <w:t xml:space="preserve">t. </w:t>
      </w:r>
      <w:r w:rsidR="00532BD0">
        <w:rPr>
          <w:rFonts w:ascii="Consolas" w:hAnsi="Consolas" w:cs="Consolas"/>
        </w:rPr>
        <w:t>s</w:t>
      </w:r>
      <w:r w:rsidRPr="008463ED">
        <w:rPr>
          <w:rFonts w:ascii="Consolas" w:hAnsi="Consolas" w:cs="Consolas"/>
        </w:rPr>
        <w:t>pec. IR</w:t>
      </w:r>
      <w:r w:rsidR="00532BD0">
        <w:rPr>
          <w:rFonts w:ascii="Consolas" w:hAnsi="Consolas" w:cs="Consolas"/>
        </w:rPr>
        <w:t xml:space="preserve">; </w:t>
      </w:r>
      <w:r w:rsidRPr="008463ED">
        <w:rPr>
          <w:rFonts w:ascii="Consolas" w:hAnsi="Consolas" w:cs="Consolas"/>
        </w:rPr>
        <w:t>2019-09-06</w:t>
      </w:r>
    </w:p>
    <w:p w14:paraId="4F1A4786" w14:textId="0A9AD722" w:rsidR="00532BD0" w:rsidRDefault="00532BD0" w:rsidP="00743257">
      <w:pPr>
        <w:widowControl/>
        <w:jc w:val="both"/>
        <w:rPr>
          <w:rFonts w:ascii="Consolas" w:hAnsi="Consolas" w:cs="Consolas"/>
        </w:rPr>
      </w:pPr>
    </w:p>
    <w:p w14:paraId="713BF237" w14:textId="16DCB1D1" w:rsidR="00532BD0" w:rsidRDefault="00532BD0" w:rsidP="00532BD0">
      <w:pPr>
        <w:widowControl/>
        <w:jc w:val="both"/>
        <w:rPr>
          <w:rFonts w:ascii="Consolas" w:hAnsi="Consolas" w:cs="Consolas"/>
        </w:rPr>
      </w:pPr>
      <w:r w:rsidRPr="008463ED">
        <w:rPr>
          <w:rFonts w:ascii="Consolas" w:hAnsi="Consolas" w:cs="Consolas"/>
        </w:rPr>
        <w:t>Zmiany/uzupełnienia wykonane:</w:t>
      </w:r>
      <w:r>
        <w:rPr>
          <w:rFonts w:ascii="Consolas" w:hAnsi="Consolas" w:cs="Consolas"/>
        </w:rPr>
        <w:t xml:space="preserve"> Beata Ostrowska, </w:t>
      </w:r>
      <w:proofErr w:type="spellStart"/>
      <w:r>
        <w:rPr>
          <w:rFonts w:ascii="Consolas" w:hAnsi="Consolas" w:cs="Consolas"/>
        </w:rPr>
        <w:t>czł</w:t>
      </w:r>
      <w:proofErr w:type="spellEnd"/>
      <w:r>
        <w:rPr>
          <w:rFonts w:ascii="Consolas" w:hAnsi="Consolas" w:cs="Consolas"/>
        </w:rPr>
        <w:t>. Prezydium ZG PTI, przew. Rady Sektorowej, 2019-09-06</w:t>
      </w:r>
    </w:p>
    <w:p w14:paraId="4D422CDB" w14:textId="77777777" w:rsidR="00532BD0" w:rsidRDefault="00532BD0" w:rsidP="00743257">
      <w:pPr>
        <w:widowControl/>
        <w:jc w:val="both"/>
        <w:rPr>
          <w:rFonts w:ascii="Consolas" w:hAnsi="Consolas" w:cs="Consolas"/>
        </w:rPr>
      </w:pPr>
    </w:p>
    <w:p w14:paraId="24EB0E52" w14:textId="4C58ED77" w:rsidR="001B6B9A" w:rsidRPr="008463ED" w:rsidRDefault="001B6B9A" w:rsidP="00743257">
      <w:pPr>
        <w:widowControl/>
        <w:jc w:val="both"/>
        <w:rPr>
          <w:rFonts w:ascii="Consolas" w:hAnsi="Consolas" w:cs="Consolas"/>
        </w:rPr>
      </w:pPr>
      <w:r w:rsidRPr="008463ED">
        <w:rPr>
          <w:rFonts w:ascii="Consolas" w:hAnsi="Consolas" w:cs="Consolas"/>
        </w:rPr>
        <w:t>Zmiany/uzupełnienia wykonane: Krystyna Kamińska DG</w:t>
      </w:r>
      <w:r w:rsidR="00532BD0">
        <w:rPr>
          <w:rFonts w:ascii="Consolas" w:hAnsi="Consolas" w:cs="Consolas"/>
        </w:rPr>
        <w:t>;</w:t>
      </w:r>
      <w:r w:rsidR="002E51E8" w:rsidRPr="008463ED">
        <w:rPr>
          <w:rFonts w:ascii="Consolas" w:hAnsi="Consolas" w:cs="Consolas"/>
        </w:rPr>
        <w:t xml:space="preserve"> 2019-09-06</w:t>
      </w:r>
    </w:p>
    <w:sectPr w:rsidR="001B6B9A" w:rsidRPr="008463ED" w:rsidSect="00B255A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4AAE" w14:textId="77777777" w:rsidR="00E37AB2" w:rsidRDefault="00E37AB2" w:rsidP="00C8765E">
      <w:r>
        <w:separator/>
      </w:r>
    </w:p>
  </w:endnote>
  <w:endnote w:type="continuationSeparator" w:id="0">
    <w:p w14:paraId="419CEDF8" w14:textId="77777777" w:rsidR="00E37AB2" w:rsidRDefault="00E37AB2" w:rsidP="00C8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Arial"/>
    <w:charset w:val="EE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381C6" w14:textId="720EF820" w:rsidR="00C8765E" w:rsidRDefault="00C8765E" w:rsidP="00C8765E">
    <w:pPr>
      <w:pStyle w:val="Stopka"/>
      <w:tabs>
        <w:tab w:val="clear" w:pos="4536"/>
        <w:tab w:val="clear" w:pos="9072"/>
        <w:tab w:val="center" w:pos="7088"/>
        <w:tab w:val="right" w:pos="14004"/>
      </w:tabs>
    </w:pPr>
    <w:r>
      <w:t>Plik</w:t>
    </w:r>
    <w:r w:rsidRPr="00C8765E">
      <w:rPr>
        <w:i/>
      </w:rPr>
      <w:t xml:space="preserve"> </w:t>
    </w:r>
    <w:r w:rsidRPr="00C8765E">
      <w:rPr>
        <w:i/>
      </w:rPr>
      <w:fldChar w:fldCharType="begin"/>
    </w:r>
    <w:r w:rsidRPr="00C8765E">
      <w:rPr>
        <w:i/>
      </w:rPr>
      <w:instrText xml:space="preserve"> FILENAME   \* MERGEFORMAT </w:instrText>
    </w:r>
    <w:r w:rsidRPr="00C8765E">
      <w:rPr>
        <w:i/>
      </w:rPr>
      <w:fldChar w:fldCharType="separate"/>
    </w:r>
    <w:r w:rsidR="00B254C3">
      <w:rPr>
        <w:i/>
        <w:noProof/>
      </w:rPr>
      <w:t>Kierunki strategiczne - realizacja w2'1.docx</w:t>
    </w:r>
    <w:r w:rsidRPr="00C8765E">
      <w:rPr>
        <w:i/>
      </w:rPr>
      <w:fldChar w:fldCharType="end"/>
    </w:r>
    <w:r>
      <w:tab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EE1E8F">
      <w:rPr>
        <w:noProof/>
      </w:rPr>
      <w:t>6</w:t>
    </w:r>
    <w:r>
      <w:fldChar w:fldCharType="end"/>
    </w:r>
    <w:r w:rsidRPr="00C8765E">
      <w:rPr>
        <w:i/>
        <w:sz w:val="16"/>
        <w:szCs w:val="16"/>
      </w:rPr>
      <w:t xml:space="preserve"> z </w:t>
    </w:r>
    <w:r w:rsidRPr="00C8765E">
      <w:rPr>
        <w:i/>
        <w:sz w:val="16"/>
        <w:szCs w:val="16"/>
      </w:rPr>
      <w:fldChar w:fldCharType="begin"/>
    </w:r>
    <w:r w:rsidRPr="00C8765E">
      <w:rPr>
        <w:i/>
        <w:sz w:val="16"/>
        <w:szCs w:val="16"/>
      </w:rPr>
      <w:instrText xml:space="preserve"> NUMPAGES   \* MERGEFORMAT </w:instrText>
    </w:r>
    <w:r w:rsidRPr="00C8765E">
      <w:rPr>
        <w:i/>
        <w:sz w:val="16"/>
        <w:szCs w:val="16"/>
      </w:rPr>
      <w:fldChar w:fldCharType="separate"/>
    </w:r>
    <w:r w:rsidR="00EE1E8F">
      <w:rPr>
        <w:i/>
        <w:noProof/>
        <w:sz w:val="16"/>
        <w:szCs w:val="16"/>
      </w:rPr>
      <w:t>7</w:t>
    </w:r>
    <w:r w:rsidRPr="00C8765E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39CF6" w14:textId="77777777" w:rsidR="00E37AB2" w:rsidRDefault="00E37AB2" w:rsidP="00C8765E">
      <w:r>
        <w:separator/>
      </w:r>
    </w:p>
  </w:footnote>
  <w:footnote w:type="continuationSeparator" w:id="0">
    <w:p w14:paraId="674B140C" w14:textId="77777777" w:rsidR="00E37AB2" w:rsidRDefault="00E37AB2" w:rsidP="00C8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2F"/>
    <w:multiLevelType w:val="hybridMultilevel"/>
    <w:tmpl w:val="05D05476"/>
    <w:lvl w:ilvl="0" w:tplc="03B8E208"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5A1"/>
    <w:multiLevelType w:val="hybridMultilevel"/>
    <w:tmpl w:val="5AD4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A4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0D0409D4"/>
    <w:multiLevelType w:val="hybridMultilevel"/>
    <w:tmpl w:val="9440C6FE"/>
    <w:lvl w:ilvl="0" w:tplc="AE62827E">
      <w:start w:val="1"/>
      <w:numFmt w:val="decimal"/>
      <w:lvlText w:val="K-I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55BE"/>
    <w:multiLevelType w:val="hybridMultilevel"/>
    <w:tmpl w:val="1B420990"/>
    <w:lvl w:ilvl="0" w:tplc="77963F2E">
      <w:start w:val="1"/>
      <w:numFmt w:val="lowerLetter"/>
      <w:lvlText w:val="2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A62"/>
    <w:multiLevelType w:val="hybridMultilevel"/>
    <w:tmpl w:val="AEE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7431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3BA1"/>
    <w:multiLevelType w:val="multilevel"/>
    <w:tmpl w:val="F342AF28"/>
    <w:lvl w:ilvl="0">
      <w:start w:val="1"/>
      <w:numFmt w:val="lowerLetter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B5A52D8"/>
    <w:multiLevelType w:val="hybridMultilevel"/>
    <w:tmpl w:val="D25C9CB0"/>
    <w:lvl w:ilvl="0" w:tplc="2AAA24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D817AA"/>
    <w:multiLevelType w:val="hybridMultilevel"/>
    <w:tmpl w:val="1F64A59E"/>
    <w:lvl w:ilvl="0" w:tplc="5BD698BE">
      <w:numFmt w:val="decimal"/>
      <w:lvlText w:val="K-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6491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3772"/>
    <w:multiLevelType w:val="hybridMultilevel"/>
    <w:tmpl w:val="ADAAFFBA"/>
    <w:lvl w:ilvl="0" w:tplc="019CFAA8">
      <w:numFmt w:val="decimal"/>
      <w:lvlText w:val="K-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27C"/>
    <w:multiLevelType w:val="hybridMultilevel"/>
    <w:tmpl w:val="474ED656"/>
    <w:lvl w:ilvl="0" w:tplc="5F467DCE">
      <w:start w:val="1"/>
      <w:numFmt w:val="decimal"/>
      <w:pStyle w:val="Numerowany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E56"/>
    <w:multiLevelType w:val="hybridMultilevel"/>
    <w:tmpl w:val="6F2EC468"/>
    <w:lvl w:ilvl="0" w:tplc="E040B18A">
      <w:numFmt w:val="decimal"/>
      <w:lvlText w:val="K-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2521"/>
    <w:multiLevelType w:val="hybridMultilevel"/>
    <w:tmpl w:val="58EA6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356D5"/>
    <w:multiLevelType w:val="hybridMultilevel"/>
    <w:tmpl w:val="B4A25E8A"/>
    <w:lvl w:ilvl="0" w:tplc="5EFEA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190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C210AE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0AAD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187C75"/>
    <w:multiLevelType w:val="hybridMultilevel"/>
    <w:tmpl w:val="00E8058E"/>
    <w:lvl w:ilvl="0" w:tplc="874CF9CE">
      <w:numFmt w:val="decimal"/>
      <w:lvlText w:val="K-I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1301"/>
    <w:multiLevelType w:val="hybridMultilevel"/>
    <w:tmpl w:val="03E8386A"/>
    <w:lvl w:ilvl="0" w:tplc="2D5EC812">
      <w:numFmt w:val="decimal"/>
      <w:lvlText w:val="K-I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04F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B017CA"/>
    <w:multiLevelType w:val="hybridMultilevel"/>
    <w:tmpl w:val="AD80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643D3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B70A0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A0A76"/>
    <w:multiLevelType w:val="hybridMultilevel"/>
    <w:tmpl w:val="29B6A410"/>
    <w:lvl w:ilvl="0" w:tplc="762C00AC">
      <w:numFmt w:val="decimal"/>
      <w:lvlText w:val="K-V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57D6B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7E60E3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B2852"/>
    <w:multiLevelType w:val="hybridMultilevel"/>
    <w:tmpl w:val="816C7896"/>
    <w:lvl w:ilvl="0" w:tplc="44B8D888">
      <w:start w:val="1"/>
      <w:numFmt w:val="lowerLetter"/>
      <w:lvlText w:val="1.%1.0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8"/>
  </w:num>
  <w:num w:numId="9">
    <w:abstractNumId w:val="7"/>
  </w:num>
  <w:num w:numId="10">
    <w:abstractNumId w:val="4"/>
  </w:num>
  <w:num w:numId="11">
    <w:abstractNumId w:val="26"/>
  </w:num>
  <w:num w:numId="12">
    <w:abstractNumId w:val="18"/>
  </w:num>
  <w:num w:numId="13">
    <w:abstractNumId w:val="3"/>
  </w:num>
  <w:num w:numId="14">
    <w:abstractNumId w:val="9"/>
  </w:num>
  <w:num w:numId="15">
    <w:abstractNumId w:val="27"/>
  </w:num>
  <w:num w:numId="16">
    <w:abstractNumId w:val="2"/>
  </w:num>
  <w:num w:numId="17">
    <w:abstractNumId w:val="11"/>
  </w:num>
  <w:num w:numId="18">
    <w:abstractNumId w:val="0"/>
  </w:num>
  <w:num w:numId="19">
    <w:abstractNumId w:val="15"/>
  </w:num>
  <w:num w:numId="20">
    <w:abstractNumId w:val="17"/>
  </w:num>
  <w:num w:numId="21">
    <w:abstractNumId w:val="19"/>
  </w:num>
  <w:num w:numId="22">
    <w:abstractNumId w:val="24"/>
  </w:num>
  <w:num w:numId="23">
    <w:abstractNumId w:val="10"/>
  </w:num>
  <w:num w:numId="24">
    <w:abstractNumId w:val="23"/>
  </w:num>
  <w:num w:numId="25">
    <w:abstractNumId w:val="14"/>
  </w:num>
  <w:num w:numId="26">
    <w:abstractNumId w:val="6"/>
  </w:num>
  <w:num w:numId="27">
    <w:abstractNumId w:val="20"/>
  </w:num>
  <w:num w:numId="28">
    <w:abstractNumId w:val="13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46"/>
    <w:rsid w:val="00015B7F"/>
    <w:rsid w:val="000238DB"/>
    <w:rsid w:val="000400CF"/>
    <w:rsid w:val="00072B78"/>
    <w:rsid w:val="00092D69"/>
    <w:rsid w:val="000C3218"/>
    <w:rsid w:val="000F404E"/>
    <w:rsid w:val="00106A48"/>
    <w:rsid w:val="001455D4"/>
    <w:rsid w:val="00166611"/>
    <w:rsid w:val="0017401B"/>
    <w:rsid w:val="00196A22"/>
    <w:rsid w:val="001A0DF9"/>
    <w:rsid w:val="001B3227"/>
    <w:rsid w:val="001B6B9A"/>
    <w:rsid w:val="001C6E22"/>
    <w:rsid w:val="002549D7"/>
    <w:rsid w:val="002E51E8"/>
    <w:rsid w:val="0033076D"/>
    <w:rsid w:val="00355027"/>
    <w:rsid w:val="0035664E"/>
    <w:rsid w:val="00371BC4"/>
    <w:rsid w:val="003858F8"/>
    <w:rsid w:val="003E4BCB"/>
    <w:rsid w:val="00426B7F"/>
    <w:rsid w:val="00434146"/>
    <w:rsid w:val="004732D6"/>
    <w:rsid w:val="005272C4"/>
    <w:rsid w:val="00532BD0"/>
    <w:rsid w:val="0053546A"/>
    <w:rsid w:val="00586E19"/>
    <w:rsid w:val="00645A70"/>
    <w:rsid w:val="00664651"/>
    <w:rsid w:val="006E16A5"/>
    <w:rsid w:val="006E5189"/>
    <w:rsid w:val="007203A7"/>
    <w:rsid w:val="00730ADB"/>
    <w:rsid w:val="00743257"/>
    <w:rsid w:val="00783D76"/>
    <w:rsid w:val="007C6D30"/>
    <w:rsid w:val="008463ED"/>
    <w:rsid w:val="00857F85"/>
    <w:rsid w:val="009044E4"/>
    <w:rsid w:val="00926900"/>
    <w:rsid w:val="0093232E"/>
    <w:rsid w:val="00960C2C"/>
    <w:rsid w:val="009863A7"/>
    <w:rsid w:val="009D28AA"/>
    <w:rsid w:val="00A1275D"/>
    <w:rsid w:val="00A205CE"/>
    <w:rsid w:val="00A247D7"/>
    <w:rsid w:val="00A54860"/>
    <w:rsid w:val="00A81D95"/>
    <w:rsid w:val="00AC62D6"/>
    <w:rsid w:val="00AD034D"/>
    <w:rsid w:val="00AE5E07"/>
    <w:rsid w:val="00B1216F"/>
    <w:rsid w:val="00B16E49"/>
    <w:rsid w:val="00B254C3"/>
    <w:rsid w:val="00B255AB"/>
    <w:rsid w:val="00B50E0B"/>
    <w:rsid w:val="00B64475"/>
    <w:rsid w:val="00BA3661"/>
    <w:rsid w:val="00C25E7F"/>
    <w:rsid w:val="00C307E2"/>
    <w:rsid w:val="00C44669"/>
    <w:rsid w:val="00C73F81"/>
    <w:rsid w:val="00C8765E"/>
    <w:rsid w:val="00CA24A7"/>
    <w:rsid w:val="00CD6244"/>
    <w:rsid w:val="00D003BB"/>
    <w:rsid w:val="00D00480"/>
    <w:rsid w:val="00D126C0"/>
    <w:rsid w:val="00D4694D"/>
    <w:rsid w:val="00D510EC"/>
    <w:rsid w:val="00D942C4"/>
    <w:rsid w:val="00DB17F4"/>
    <w:rsid w:val="00DF6A7D"/>
    <w:rsid w:val="00E06C11"/>
    <w:rsid w:val="00E35626"/>
    <w:rsid w:val="00E35F93"/>
    <w:rsid w:val="00E37AB2"/>
    <w:rsid w:val="00E41FD9"/>
    <w:rsid w:val="00E7419E"/>
    <w:rsid w:val="00E8694E"/>
    <w:rsid w:val="00EE1E8F"/>
    <w:rsid w:val="00F10828"/>
    <w:rsid w:val="00F23A13"/>
    <w:rsid w:val="00F247CF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947"/>
  <w15:docId w15:val="{B3DFE768-D28F-45B4-99DD-3CE73F56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41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y">
    <w:name w:val="Numerowany"/>
    <w:basedOn w:val="Normalny"/>
    <w:qFormat/>
    <w:rsid w:val="00434146"/>
    <w:pPr>
      <w:numPr>
        <w:numId w:val="1"/>
      </w:numPr>
      <w:spacing w:before="60"/>
      <w:jc w:val="both"/>
    </w:pPr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rsid w:val="0043414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7C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1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1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A81D95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A7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A70"/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2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2D6"/>
    <w:rPr>
      <w:rFonts w:ascii="Times New Roman Normalny" w:eastAsia="Times New Roman" w:hAnsi="Times New Roman Normalny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7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65E"/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65E"/>
    <w:rPr>
      <w:rFonts w:ascii="Times New Roman Normalny" w:eastAsia="Times New Roman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Dorożyński</dc:creator>
  <cp:lastModifiedBy>Janusz Dorożyński</cp:lastModifiedBy>
  <cp:revision>4</cp:revision>
  <cp:lastPrinted>2019-09-05T11:41:00Z</cp:lastPrinted>
  <dcterms:created xsi:type="dcterms:W3CDTF">2019-09-10T06:50:00Z</dcterms:created>
  <dcterms:modified xsi:type="dcterms:W3CDTF">2019-09-10T09:24:00Z</dcterms:modified>
</cp:coreProperties>
</file>