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1D" w:rsidRPr="00C07E0A" w:rsidRDefault="00FE6E1D" w:rsidP="00087D57">
      <w:pPr>
        <w:jc w:val="center"/>
        <w:rPr>
          <w:b/>
          <w:sz w:val="28"/>
          <w:szCs w:val="28"/>
        </w:rPr>
      </w:pPr>
      <w:r w:rsidRPr="00C07E0A">
        <w:rPr>
          <w:b/>
          <w:sz w:val="28"/>
          <w:szCs w:val="28"/>
        </w:rPr>
        <w:t>Spotkanie strategiczne i posiedzenie ZG</w:t>
      </w:r>
    </w:p>
    <w:p w:rsidR="00FE6E1D" w:rsidRDefault="00FE6E1D" w:rsidP="00FE6E1D">
      <w:pPr>
        <w:jc w:val="both"/>
      </w:pPr>
    </w:p>
    <w:p w:rsidR="00FE6E1D" w:rsidRDefault="00FE6E1D" w:rsidP="00FE6E1D">
      <w:pPr>
        <w:jc w:val="both"/>
      </w:pPr>
      <w:r>
        <w:t>Data - (12) 13-15 września 2019 r.; (czwartek) piątek - niedziela</w:t>
      </w:r>
    </w:p>
    <w:p w:rsidR="00FE6E1D" w:rsidRDefault="00FE6E1D" w:rsidP="00FE6E1D">
      <w:pPr>
        <w:jc w:val="both"/>
      </w:pPr>
      <w:r>
        <w:t>Miejsce - hotel Gołębiewski, ul. Pałacowa 7, 15-064 Białystok</w:t>
      </w:r>
    </w:p>
    <w:p w:rsidR="00FE6E1D" w:rsidRDefault="00FE6E1D" w:rsidP="00C07E0A">
      <w:pPr>
        <w:spacing w:after="0"/>
        <w:jc w:val="both"/>
      </w:pPr>
      <w:r>
        <w:t>Informacje organizacyjne</w:t>
      </w:r>
    </w:p>
    <w:p w:rsidR="00FE6E1D" w:rsidRDefault="00FE6E1D" w:rsidP="00C07E0A">
      <w:pPr>
        <w:spacing w:after="0"/>
        <w:jc w:val="both"/>
      </w:pPr>
      <w:r>
        <w:t>Zakwaterowanie - od g. 15-tej, wymeldowanie - do g. 12-tej</w:t>
      </w:r>
    </w:p>
    <w:p w:rsidR="00FE6E1D" w:rsidRDefault="00FE6E1D" w:rsidP="00C07E0A">
      <w:pPr>
        <w:spacing w:after="0"/>
        <w:jc w:val="both"/>
      </w:pPr>
      <w:r>
        <w:t>Śniadania - szwedzki stół, 6:30 - 10:30, restauracji Czerwona, I piętro hotelu</w:t>
      </w:r>
    </w:p>
    <w:p w:rsidR="00FE6E1D" w:rsidRDefault="00FE6E1D" w:rsidP="00FE6E1D">
      <w:pPr>
        <w:jc w:val="both"/>
      </w:pPr>
      <w:r>
        <w:t>Parking - wielopoziomowy w cenie pobytu i parking bezpłatny przed hotelem</w:t>
      </w:r>
    </w:p>
    <w:p w:rsidR="00E0159E" w:rsidRDefault="00E0159E" w:rsidP="00C07E0A">
      <w:pPr>
        <w:spacing w:after="0"/>
        <w:jc w:val="both"/>
      </w:pPr>
    </w:p>
    <w:p w:rsidR="00FE6E1D" w:rsidRDefault="00FE6E1D" w:rsidP="00C07E0A">
      <w:pPr>
        <w:spacing w:after="0"/>
        <w:jc w:val="both"/>
      </w:pPr>
      <w:r>
        <w:t>Organizacja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Zasady zwrotu kosztów przejazdu - zgodnie z regulaminem zwrotu kosztów członkom PTI (</w:t>
      </w:r>
      <w:hyperlink r:id="rId8" w:history="1">
        <w:r w:rsidRPr="001F2412">
          <w:rPr>
            <w:rStyle w:val="Hipercze"/>
          </w:rPr>
          <w:t>https://portal.pti.org.pl/wp-content/uploads/2019/01/U-ZG-15-XIII-17_z_2017-10-28_wp_zal2Regulamin-zwrot-koszt%C3%B3w-cz%C5%82onkohm-PTI-od-28.10.2017.pdf</w:t>
        </w:r>
      </w:hyperlink>
      <w:r>
        <w:t xml:space="preserve">), </w:t>
      </w:r>
      <w:r>
        <w:br/>
        <w:t xml:space="preserve">w przypadku przejazdu samochodem za zgodą z p. 15.1 (i odpowiednio wg p. 16.2) regulaminu (droga </w:t>
      </w:r>
      <w:proofErr w:type="spellStart"/>
      <w:r>
        <w:t>mejlowa</w:t>
      </w:r>
      <w:proofErr w:type="spellEnd"/>
      <w:r>
        <w:t>, preferowania osoba udzielająca zgody - DG BZG) lub z p. 10 (i odpowiednio wg p. 12.2) regulaminu. Preferowany przejazd z jednej miejscowości więcej niż jednej osoby.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Sala na sesje plenarne i robocze (w grupach) na ok. 45 osób, nagłośnienie sufitowe, dobrze gdyby była z mikrofonami stanowiskowymi (ale nie jest to wymóg sine qua non) lub z czterema mikrofonami bezprzewodowymi + dwa komplety świeżych baterii, ustawienie litera U (ze stołami)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Ekran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Rzutnik multimedialny, najlepiej sufitowy - wejście VGA/HDMI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(Pożądany) pulpit prezentera/mówcy z miejscem na laptop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Wskaźnik prezentacyjny (laser/przerzucanie slajdów) podłączany do laptopa prezentacyjnego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 xml:space="preserve">Stojak z blokiem arkuszy A0 i świeże (piszące) </w:t>
      </w:r>
      <w:r w:rsidR="007F7C8C">
        <w:t>mazaki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Wystarczająca liczba punktów 220 V i/lub przedłużaczy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Dostęp do Internetu bezprzewodowy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Aparat fotograficzny</w:t>
      </w:r>
    </w:p>
    <w:p w:rsidR="00FE6E1D" w:rsidRDefault="00FE6E1D" w:rsidP="00FE6E1D">
      <w:pPr>
        <w:jc w:val="both"/>
      </w:pPr>
    </w:p>
    <w:p w:rsidR="00FE6E1D" w:rsidRPr="00C07E0A" w:rsidRDefault="00FE6E1D" w:rsidP="00A56304">
      <w:pPr>
        <w:jc w:val="both"/>
        <w:rPr>
          <w:b/>
        </w:rPr>
      </w:pPr>
      <w:r w:rsidRPr="00C07E0A">
        <w:rPr>
          <w:b/>
        </w:rPr>
        <w:t xml:space="preserve">Plan </w:t>
      </w:r>
    </w:p>
    <w:p w:rsidR="00FE6E1D" w:rsidRDefault="00A56304" w:rsidP="00FE6E1D">
      <w:pPr>
        <w:jc w:val="both"/>
      </w:pPr>
      <w:r>
        <w:t>Wg oddzielnego plik</w:t>
      </w:r>
      <w:r w:rsidR="00E0159E">
        <w:t>u</w:t>
      </w:r>
      <w:r>
        <w:t xml:space="preserve"> &lt;</w:t>
      </w:r>
      <w:r w:rsidRPr="00A56304">
        <w:t>!Porzadek_posiedzenia_strategicznego_PTI_2019-09-13,14,15_w1'1.xls</w:t>
      </w:r>
      <w:r>
        <w:t xml:space="preserve">&gt;. </w:t>
      </w:r>
    </w:p>
    <w:p w:rsidR="00FE6E1D" w:rsidRDefault="00FE6E1D" w:rsidP="00FE6E1D">
      <w:pPr>
        <w:jc w:val="both"/>
      </w:pPr>
    </w:p>
    <w:p w:rsidR="00FE6E1D" w:rsidRDefault="00FE6E1D" w:rsidP="00FE6E1D">
      <w:pPr>
        <w:jc w:val="both"/>
      </w:pPr>
    </w:p>
    <w:p w:rsidR="00FE6E1D" w:rsidRDefault="00FE6E1D" w:rsidP="00FE6E1D">
      <w:pPr>
        <w:jc w:val="both"/>
      </w:pPr>
    </w:p>
    <w:p w:rsidR="00455DF3" w:rsidRDefault="00455DF3" w:rsidP="00FE6E1D">
      <w:pPr>
        <w:jc w:val="both"/>
      </w:pPr>
    </w:p>
    <w:p w:rsidR="00FE6E1D" w:rsidRDefault="00FE6E1D" w:rsidP="00FE6E1D">
      <w:pPr>
        <w:jc w:val="both"/>
      </w:pPr>
    </w:p>
    <w:p w:rsidR="00FE6E1D" w:rsidRPr="00E0159E" w:rsidRDefault="00FE6E1D" w:rsidP="00E0159E">
      <w:pPr>
        <w:pageBreakBefore/>
        <w:shd w:val="clear" w:color="auto" w:fill="FFFFFF" w:themeFill="background1"/>
        <w:jc w:val="both"/>
        <w:rPr>
          <w:b/>
        </w:rPr>
      </w:pPr>
      <w:r w:rsidRPr="00E0159E">
        <w:rPr>
          <w:b/>
        </w:rPr>
        <w:lastRenderedPageBreak/>
        <w:t>Pomysły</w:t>
      </w:r>
      <w:r w:rsidR="0013714D" w:rsidRPr="00E0159E">
        <w:rPr>
          <w:b/>
        </w:rPr>
        <w:t xml:space="preserve"> z mejl</w:t>
      </w:r>
      <w:r w:rsidR="00E0159E" w:rsidRPr="00E0159E">
        <w:rPr>
          <w:b/>
        </w:rPr>
        <w:t>i</w:t>
      </w:r>
      <w:r w:rsidR="0013714D" w:rsidRPr="00E0159E">
        <w:rPr>
          <w:b/>
        </w:rPr>
        <w:t xml:space="preserve"> i rozmów telefonicznych</w:t>
      </w:r>
    </w:p>
    <w:p w:rsidR="00876D11" w:rsidRDefault="00876D11" w:rsidP="00876D11">
      <w:pPr>
        <w:shd w:val="clear" w:color="auto" w:fill="FFFFFF" w:themeFill="background1"/>
        <w:jc w:val="both"/>
      </w:pP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T. Komorowski - dwa dokumenty: pełna strategia i streszczenie (synteza)</w:t>
      </w:r>
    </w:p>
    <w:p w:rsidR="00FE6E1D" w:rsidRDefault="00FE6E1D" w:rsidP="00E0159E">
      <w:pPr>
        <w:spacing w:after="0" w:line="240" w:lineRule="auto"/>
        <w:jc w:val="both"/>
      </w:pP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W. Marciński - certyfikaty </w:t>
      </w:r>
      <w:proofErr w:type="spellStart"/>
      <w:r>
        <w:t>cyberbezbieczeństwa</w:t>
      </w:r>
      <w:proofErr w:type="spellEnd"/>
      <w:r>
        <w:t>, gotowość/zdolność osobowa (zasoby) do realizacji projektów</w:t>
      </w:r>
    </w:p>
    <w:p w:rsidR="00FE6E1D" w:rsidRDefault="00FE6E1D" w:rsidP="00E0159E">
      <w:pPr>
        <w:spacing w:after="0" w:line="240" w:lineRule="auto"/>
        <w:jc w:val="both"/>
      </w:pP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W. Kiedrowski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ocenić stan obecny przez pryzmat obowiązującej strategii. co zostało osiągnięte z celów strategicznych a co nie. Jeśli nie, to jakie są przyczyny. z taką wiedzą powinni startować wszyscy uczestnicy spotkania strategicznego.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To powinno dać taki efekt, aby na spotkaniu strategicznym, wytyczając nowe (a może też stare) cele uniknąć błędów z przeszłości i określić takie działania do podjęcia, które sprawią, że te cele zostaną osiągnięte.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Może trzeba będzie bardziej konkretnie to wszystko określić aby móc później rozliczyć obecne i kolejne władze z ich realizacji.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Zastanawiam się nad podejściem do definiowania samej strategii. 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Wyszedłbym od określenia wizji, gdzie ma być i jakie ma być PTI za 3-5 lat. Następnie zdefiniowałbym działania kończące się konkretnymi rezultatami, które trzeba zrealizować w określonym czasie aby nakreślona wizja stała się rzeczywistością. I na tym bym poprzestał. Wszystko musi być w miarę możliwości konkretne, wizja musi być mierzalna</w:t>
      </w:r>
      <w:r w:rsidR="0013714D">
        <w:t xml:space="preserve"> </w:t>
      </w:r>
      <w:r>
        <w:t>(wskaźniki/mierniki) a działania powinny kończyć się mierzalnymi rezultatami (czyli znowu jakieś mierniki). Możemy podyskutować nad metodą definiowania strategii, zróbmy to jak najprościej ale konkretnie.</w:t>
      </w:r>
    </w:p>
    <w:p w:rsidR="00FE6E1D" w:rsidRDefault="00FE6E1D" w:rsidP="00E0159E">
      <w:pPr>
        <w:spacing w:after="0" w:line="240" w:lineRule="auto"/>
        <w:jc w:val="both"/>
      </w:pP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G. Szyjewski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1. Od 2 lat pracuję w ZG i jeszcze nie spotkałem się, abyśmy podejmując jakąkolwiek decyzję, czy w jakiejkolwiek rozmowie, odwoływali się do strategii.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2. Od kilku lat tematem przewodnim jest historia. Rozumiem, Obchody 70-lecia...  ale jubileusz minął, a my nadal kręcimy się wokół historii. 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Zajrzałem do strategii 2015-2020, nie znalazłem tam historii w kierunkach działań!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3. Sama nazwa "Strategia na lata..." odstrasza. "Młodzi" żyją z dnia na dzień, zarządzają projektami "zwinnie", zmieniają pracę bez oporu, nie planują swojej przyszłości na 5 lat do przodu... i nie używają systemów "</w:t>
      </w:r>
      <w:proofErr w:type="spellStart"/>
      <w:r>
        <w:t>wiki</w:t>
      </w:r>
      <w:proofErr w:type="spellEnd"/>
      <w:r>
        <w:t>". :)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4. Czy jesteś(my) w stanie zmapować pokrycie rzeczywistych działań 2015-2020 z przyjętą strategią?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Wiem, PTI musi mieć strategię. My na uczelni w zakładach, katedrach musimy mieć wspólny temat badań naukowych. Tyle, że nikt się nad tym długo nie zastanawia. Temat określamy ogólnie, żeby badania każdego pracownika pasowały. Przecież nie chodzi o to żeby formalizować działania... tylko działać!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lastRenderedPageBreak/>
        <w:t>J. Nowak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Zwracam tylko uwagę, że w PTI nadrzędnym dokumentem strategicznym jest statutu - Polecam wnikliwą lekturę punktu 7.1.n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To że nie zgłosiłem do strategii 2020 rozwinięcia tego punktu - nie ma żadnego znaczenia, Ale uwagę Grzegorza traktuję bardzo poważnie uważając, że do nowej strategii należy odnieść </w:t>
      </w:r>
      <w:proofErr w:type="spellStart"/>
      <w:r>
        <w:t>Rozwiniecia</w:t>
      </w:r>
      <w:proofErr w:type="spellEnd"/>
      <w:r>
        <w:t xml:space="preserve"> punktu 7 Statutu czyli adaptacji celów PTI w najbliższym 3-leciu</w:t>
      </w:r>
    </w:p>
    <w:p w:rsidR="00FE6E1D" w:rsidRDefault="00FE6E1D" w:rsidP="00CA280F">
      <w:pPr>
        <w:spacing w:after="0" w:line="240" w:lineRule="auto"/>
        <w:jc w:val="both"/>
      </w:pP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K. </w:t>
      </w:r>
      <w:proofErr w:type="spellStart"/>
      <w:r>
        <w:t>Cwalina</w:t>
      </w:r>
      <w:proofErr w:type="spellEnd"/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w kontekście organizowania zespołu </w:t>
      </w:r>
      <w:proofErr w:type="spellStart"/>
      <w:r>
        <w:t>ds</w:t>
      </w:r>
      <w:proofErr w:type="spellEnd"/>
      <w:r>
        <w:t xml:space="preserve"> opracowania strategii PTI, myślę że warto zadbać oto aby w zespole znalazły się osoby, które będą reprezentować biznesową część branży IT.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Pozwoli to na skierowanie części naszego działania oraz być może oferty współpracy dla osób zajmujących się zawodowo IT w różnych obszarach oraz umożliwi zbliżenie "nauki i praktyki".</w:t>
      </w:r>
    </w:p>
    <w:p w:rsidR="00F10AA6" w:rsidRDefault="00F10AA6" w:rsidP="00CA280F">
      <w:pPr>
        <w:spacing w:after="0" w:line="240" w:lineRule="auto"/>
        <w:jc w:val="both"/>
      </w:pP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Z. Sosnowski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moim zdaniem w zespole strategicznym powołanym uchwałą  ZG nr 060/XIII/19 są osoby z olbrzymim doświadczeniem biznesowym w branży IT (https://portal.pti.org.pl/organizacja/organy-statutowe/zarzad-glowny/) .</w:t>
      </w:r>
    </w:p>
    <w:p w:rsidR="00FE6E1D" w:rsidRDefault="00FE6E1D" w:rsidP="00876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Dodatkowo, wg. mojej wiedzy, 2 osoby posiadają stopień naukowy doktora.</w:t>
      </w:r>
    </w:p>
    <w:p w:rsidR="00FE6E1D" w:rsidRDefault="00FE6E1D" w:rsidP="00CA280F">
      <w:pPr>
        <w:spacing w:after="0" w:line="240" w:lineRule="auto"/>
        <w:jc w:val="both"/>
      </w:pP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J. Nowak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>w takim razie uprzejmie informuję, że w historycznym archiwum jest blok strategii PTI</w:t>
      </w:r>
    </w:p>
    <w:p w:rsidR="00FE6E1D" w:rsidRDefault="000B7494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hyperlink r:id="rId9" w:history="1">
        <w:r w:rsidR="00455DF3" w:rsidRPr="001F2412">
          <w:rPr>
            <w:rStyle w:val="Hipercze"/>
          </w:rPr>
          <w:t>https://historiainformatyki.pl/historia/teczka.php?nonav=0&amp;&amp;nrar=6&amp;nrzesp=6&amp;sygn=V/1/11&amp;folder=0</w:t>
        </w:r>
      </w:hyperlink>
      <w:r w:rsidR="00455DF3">
        <w:t xml:space="preserve"> </w:t>
      </w:r>
    </w:p>
    <w:p w:rsidR="00FE6E1D" w:rsidRDefault="00FE6E1D" w:rsidP="0013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</w:pPr>
      <w:r>
        <w:t xml:space="preserve">zebrano strategie i dokumenty </w:t>
      </w:r>
      <w:proofErr w:type="spellStart"/>
      <w:r>
        <w:t>okołostrategiczne</w:t>
      </w:r>
      <w:proofErr w:type="spellEnd"/>
    </w:p>
    <w:p w:rsidR="00873399" w:rsidRDefault="00873399" w:rsidP="00CA280F">
      <w:pPr>
        <w:spacing w:after="0" w:line="240" w:lineRule="auto"/>
        <w:jc w:val="both"/>
      </w:pP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M. Paprzycki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Januszu -- zadam TOBIE pytanie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po jaka kurza </w:t>
      </w:r>
      <w:proofErr w:type="spellStart"/>
      <w:r>
        <w:t>noge</w:t>
      </w:r>
      <w:proofErr w:type="spellEnd"/>
      <w:r>
        <w:t xml:space="preserve"> komukolwiek w roku 2019 jest potrzebne PTI komu i po co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napiszesz jak to TY widzisz?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J. Dorożyński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/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| Januszu -- zadam TOBIE pytanie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| po jaka kurza </w:t>
      </w:r>
      <w:proofErr w:type="spellStart"/>
      <w:r>
        <w:t>noge</w:t>
      </w:r>
      <w:proofErr w:type="spellEnd"/>
      <w:r>
        <w:t xml:space="preserve"> komukolwiek w roku 2019 jest potrzebne PTI komu i 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| po co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Komu? Pasjonatom. To temat odżywający co jakiś czas, i jak widzę, jak najbardziej strategiczny. Ale rozumiem, że pytasz nie o osoby, które już są w PTI, ale które nie są i raczej są 30-. Tu Marek Bolanowski jest właściwy do oddzielania odpowiedzi.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/</w:t>
      </w: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lastRenderedPageBreak/>
        <w:t>| napiszesz jak to TY widzisz?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Pisałem wielokrotnie, jak choćby tutaj </w:t>
      </w:r>
      <w:hyperlink r:id="rId10" w:history="1">
        <w:r w:rsidRPr="00AB2495">
          <w:rPr>
            <w:rStyle w:val="Hipercze"/>
          </w:rPr>
          <w:t>https://portal.pti.org.pl/spolecznosc/dlaczego-warto-dolaczyc/j-d-dlaczego-zdecydowalem-sie-przystapic-do-pti/</w:t>
        </w:r>
      </w:hyperlink>
      <w:r>
        <w:t xml:space="preserve"> </w:t>
      </w:r>
      <w:r>
        <w:t xml:space="preserve"> 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Bardzo syntetyczne, hasłowo, ale nadal ani słowa bym nie zmienił. Zauważ, że też tam jest mowa o pasji.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CA280F" w:rsidRDefault="00CA280F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bookmarkStart w:id="0" w:name="_GoBack"/>
      <w:bookmarkEnd w:id="0"/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G. Szyjewski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Koła / stowarzyszenia pasjonatów to nisze.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>Marcinowi raczej chodzi o to jak wyprowadzić (i czy da się to zrobić) PTI na tzw. "mainstream".</w:t>
      </w:r>
    </w:p>
    <w:p w:rsidR="00040A44" w:rsidRDefault="00040A44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t xml:space="preserve">Sam fakt, że piszesz cyrylicą pokazuje jak </w:t>
      </w:r>
      <w:proofErr w:type="spellStart"/>
      <w:r>
        <w:t>niemainstreamowi</w:t>
      </w:r>
      <w:proofErr w:type="spellEnd"/>
      <w:r>
        <w:t xml:space="preserve"> jesteśmy :)</w:t>
      </w:r>
    </w:p>
    <w:p w:rsidR="00873399" w:rsidRDefault="00873399" w:rsidP="00040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</w:p>
    <w:p w:rsidR="00873399" w:rsidRDefault="00873399" w:rsidP="00040A44">
      <w:pPr>
        <w:spacing w:after="0" w:line="240" w:lineRule="auto"/>
        <w:jc w:val="both"/>
      </w:pPr>
    </w:p>
    <w:p w:rsidR="00FE6E1D" w:rsidRDefault="00FE6E1D" w:rsidP="00040A44">
      <w:pPr>
        <w:spacing w:after="0" w:line="240" w:lineRule="auto"/>
        <w:jc w:val="both"/>
      </w:pPr>
    </w:p>
    <w:p w:rsidR="00E0159E" w:rsidRPr="00E0159E" w:rsidRDefault="00E0159E" w:rsidP="00E0159E">
      <w:pPr>
        <w:jc w:val="both"/>
        <w:rPr>
          <w:b/>
        </w:rPr>
      </w:pPr>
      <w:r w:rsidRPr="00E0159E">
        <w:rPr>
          <w:b/>
        </w:rPr>
        <w:t>Podział odpowiedzialności strategicznej w ZG</w:t>
      </w:r>
    </w:p>
    <w:p w:rsidR="00E0159E" w:rsidRDefault="00E0159E" w:rsidP="00E0159E">
      <w:pPr>
        <w:spacing w:after="0"/>
        <w:jc w:val="both"/>
      </w:pPr>
      <w:r>
        <w:t>Wiceprezes</w:t>
      </w:r>
    </w:p>
    <w:p w:rsidR="00E0159E" w:rsidRPr="0018114D" w:rsidRDefault="00E0159E" w:rsidP="00E0159E">
      <w:pPr>
        <w:spacing w:after="0"/>
        <w:jc w:val="both"/>
        <w:rPr>
          <w:i/>
        </w:rPr>
      </w:pPr>
      <w:r>
        <w:t xml:space="preserve"> J. Dorożyński  </w:t>
      </w:r>
      <w:r>
        <w:tab/>
      </w:r>
      <w:r>
        <w:tab/>
        <w:t xml:space="preserve"> </w:t>
      </w:r>
      <w:r>
        <w:tab/>
      </w:r>
      <w:r w:rsidRPr="0018114D">
        <w:rPr>
          <w:i/>
        </w:rPr>
        <w:t>K-I „Wspólnota – członkowie, sympatycy, współpraca”</w:t>
      </w:r>
    </w:p>
    <w:p w:rsidR="00E0159E" w:rsidRPr="0018114D" w:rsidRDefault="00E0159E" w:rsidP="00E0159E">
      <w:pPr>
        <w:spacing w:after="0"/>
        <w:ind w:left="2835"/>
        <w:jc w:val="both"/>
        <w:rPr>
          <w:i/>
        </w:rPr>
      </w:pPr>
      <w:r w:rsidRPr="0018114D">
        <w:rPr>
          <w:i/>
        </w:rPr>
        <w:t>K-III „Zawód – specjaliści i kompetencje”</w:t>
      </w:r>
    </w:p>
    <w:p w:rsidR="00E0159E" w:rsidRPr="0018114D" w:rsidRDefault="00E0159E" w:rsidP="00E0159E">
      <w:pPr>
        <w:spacing w:after="0"/>
        <w:ind w:left="2835"/>
        <w:jc w:val="both"/>
        <w:rPr>
          <w:i/>
        </w:rPr>
      </w:pPr>
      <w:r w:rsidRPr="0018114D">
        <w:rPr>
          <w:i/>
        </w:rPr>
        <w:t>K-V „Usługi – niezależne ekspertyzy i doradztwo”</w:t>
      </w:r>
    </w:p>
    <w:p w:rsidR="00E0159E" w:rsidRDefault="00E0159E" w:rsidP="00E0159E">
      <w:pPr>
        <w:spacing w:after="0"/>
        <w:jc w:val="both"/>
      </w:pPr>
      <w:r>
        <w:t xml:space="preserve"> M. Hołyński </w:t>
      </w:r>
      <w:r>
        <w:tab/>
        <w:t xml:space="preserve"> </w:t>
      </w:r>
      <w:r>
        <w:tab/>
      </w:r>
      <w:r>
        <w:tab/>
        <w:t xml:space="preserve">K-VI </w:t>
      </w:r>
      <w:r w:rsidRPr="00DB2EDB">
        <w:t>„Społeczeństwo – technologie, obywatele, prawo, państwo”</w:t>
      </w:r>
    </w:p>
    <w:p w:rsidR="00E0159E" w:rsidRDefault="00E0159E" w:rsidP="00E0159E">
      <w:pPr>
        <w:spacing w:after="0"/>
        <w:jc w:val="both"/>
      </w:pPr>
      <w:r>
        <w:t xml:space="preserve"> W. Kiedrowski </w:t>
      </w:r>
      <w:r>
        <w:tab/>
      </w:r>
      <w:r>
        <w:tab/>
      </w:r>
      <w:r>
        <w:tab/>
        <w:t>rozdz. 7 PERSPEKYWA FINANSOWA STRATEGII</w:t>
      </w:r>
    </w:p>
    <w:p w:rsidR="00E0159E" w:rsidRDefault="00E0159E" w:rsidP="00E0159E">
      <w:pPr>
        <w:spacing w:after="0"/>
        <w:ind w:left="2835"/>
        <w:jc w:val="both"/>
      </w:pPr>
      <w:r>
        <w:t>rozdz. 8 REALIZACJA I MONITORING</w:t>
      </w:r>
    </w:p>
    <w:p w:rsidR="00E0159E" w:rsidRDefault="00E0159E" w:rsidP="00E0159E">
      <w:pPr>
        <w:spacing w:after="0"/>
        <w:jc w:val="both"/>
      </w:pPr>
      <w:r>
        <w:t xml:space="preserve"> J. Kacprzyk </w:t>
      </w:r>
      <w:r>
        <w:tab/>
      </w:r>
      <w:r>
        <w:tab/>
      </w:r>
      <w:r>
        <w:tab/>
        <w:t xml:space="preserve">K-II </w:t>
      </w:r>
      <w:r w:rsidRPr="00DB2EDB">
        <w:t>„Nauka – badania, rozwój, kształcenie, wiedza”</w:t>
      </w:r>
    </w:p>
    <w:p w:rsidR="00E0159E" w:rsidRDefault="00E0159E" w:rsidP="00E0159E">
      <w:pPr>
        <w:jc w:val="both"/>
      </w:pPr>
      <w:r>
        <w:t xml:space="preserve"> J. Żmudziński (bez przydziału)</w:t>
      </w:r>
      <w:r>
        <w:tab/>
        <w:t>---</w:t>
      </w:r>
    </w:p>
    <w:p w:rsidR="00E0159E" w:rsidRDefault="00E0159E" w:rsidP="00E0159E">
      <w:pPr>
        <w:spacing w:after="0"/>
        <w:jc w:val="both"/>
      </w:pPr>
      <w:proofErr w:type="spellStart"/>
      <w:r>
        <w:t>Czł</w:t>
      </w:r>
      <w:proofErr w:type="spellEnd"/>
      <w:r>
        <w:t>. prezydium</w:t>
      </w:r>
    </w:p>
    <w:p w:rsidR="00E0159E" w:rsidRDefault="00E0159E" w:rsidP="00E0159E">
      <w:pPr>
        <w:jc w:val="both"/>
      </w:pPr>
      <w:r>
        <w:t xml:space="preserve"> J. Jaworowski</w:t>
      </w:r>
      <w:r>
        <w:tab/>
        <w:t xml:space="preserve"> </w:t>
      </w:r>
      <w:r>
        <w:tab/>
      </w:r>
      <w:r>
        <w:tab/>
        <w:t xml:space="preserve">K-IV </w:t>
      </w:r>
      <w:r w:rsidRPr="0018114D">
        <w:t>„Edukacja – użytkownicy i umiejętności”</w:t>
      </w:r>
      <w:r>
        <w:tab/>
        <w:t xml:space="preserve"> </w:t>
      </w:r>
    </w:p>
    <w:p w:rsidR="00E0159E" w:rsidRDefault="00E0159E" w:rsidP="00E0159E">
      <w:pPr>
        <w:spacing w:after="0"/>
        <w:jc w:val="both"/>
      </w:pPr>
      <w:proofErr w:type="spellStart"/>
      <w:r>
        <w:t>Czł</w:t>
      </w:r>
      <w:proofErr w:type="spellEnd"/>
      <w:r>
        <w:t>. ZG</w:t>
      </w:r>
    </w:p>
    <w:p w:rsidR="00E0159E" w:rsidRDefault="00E0159E" w:rsidP="00E0159E">
      <w:pPr>
        <w:spacing w:after="0"/>
        <w:jc w:val="both"/>
      </w:pPr>
      <w:r>
        <w:t xml:space="preserve"> T. Klasa </w:t>
      </w:r>
      <w:r>
        <w:tab/>
        <w:t xml:space="preserve"> </w:t>
      </w:r>
      <w:r>
        <w:tab/>
      </w:r>
      <w:r>
        <w:tab/>
        <w:t xml:space="preserve">K-I </w:t>
      </w:r>
      <w:r w:rsidRPr="00DB2EDB">
        <w:t>„Wspólnota – członkowie, sympatycy, współpraca”</w:t>
      </w:r>
    </w:p>
    <w:p w:rsidR="00E0159E" w:rsidRDefault="00E0159E" w:rsidP="00E0159E">
      <w:pPr>
        <w:spacing w:after="0"/>
        <w:jc w:val="both"/>
      </w:pPr>
      <w:r>
        <w:t xml:space="preserve"> T. Kifner </w:t>
      </w:r>
      <w:r>
        <w:tab/>
      </w:r>
      <w:r>
        <w:tab/>
      </w:r>
      <w:r>
        <w:tab/>
        <w:t>K-V „Usługi – niezależne ekspertyzy i doradztw</w:t>
      </w:r>
    </w:p>
    <w:p w:rsidR="00E0159E" w:rsidRDefault="00E0159E" w:rsidP="00E0159E">
      <w:pPr>
        <w:jc w:val="both"/>
      </w:pPr>
      <w:r>
        <w:t xml:space="preserve"> G. Szyjewski</w:t>
      </w:r>
      <w:r>
        <w:tab/>
      </w:r>
      <w:r>
        <w:tab/>
      </w:r>
      <w:r>
        <w:tab/>
        <w:t xml:space="preserve">K-III </w:t>
      </w:r>
      <w:r w:rsidRPr="00DB2EDB">
        <w:t>„Zawód – specjaliści i kompetencje”</w:t>
      </w:r>
    </w:p>
    <w:p w:rsidR="00E0159E" w:rsidRDefault="00E0159E" w:rsidP="00040A44">
      <w:pPr>
        <w:spacing w:after="0" w:line="240" w:lineRule="auto"/>
        <w:jc w:val="both"/>
      </w:pPr>
    </w:p>
    <w:p w:rsidR="00E0159E" w:rsidRDefault="00E0159E" w:rsidP="00040A44">
      <w:pPr>
        <w:spacing w:after="0" w:line="240" w:lineRule="auto"/>
        <w:jc w:val="both"/>
      </w:pPr>
    </w:p>
    <w:p w:rsidR="00A56304" w:rsidRDefault="00A56304" w:rsidP="00A56304">
      <w:pPr>
        <w:jc w:val="both"/>
      </w:pPr>
      <w:r>
        <w:t>2019-08-</w:t>
      </w:r>
      <w:r>
        <w:t>31</w:t>
      </w:r>
    </w:p>
    <w:p w:rsidR="00A56304" w:rsidRDefault="00A56304" w:rsidP="00A56304">
      <w:pPr>
        <w:jc w:val="both"/>
      </w:pPr>
      <w:r>
        <w:t>Opracowanie: J. Dorożyński, wiceprezes PTI</w:t>
      </w:r>
    </w:p>
    <w:p w:rsidR="000C2759" w:rsidRDefault="000C2759" w:rsidP="00040A44">
      <w:pPr>
        <w:spacing w:after="0" w:line="240" w:lineRule="auto"/>
        <w:jc w:val="both"/>
      </w:pPr>
    </w:p>
    <w:sectPr w:rsidR="000C27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94" w:rsidRDefault="000B7494" w:rsidP="00087D57">
      <w:pPr>
        <w:spacing w:after="0" w:line="240" w:lineRule="auto"/>
      </w:pPr>
      <w:r>
        <w:separator/>
      </w:r>
    </w:p>
  </w:endnote>
  <w:endnote w:type="continuationSeparator" w:id="0">
    <w:p w:rsidR="000B7494" w:rsidRDefault="000B7494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57" w:rsidRDefault="00087D57">
    <w:pPr>
      <w:pStyle w:val="Stopka"/>
    </w:pPr>
    <w:r>
      <w:t xml:space="preserve">Plik </w:t>
    </w:r>
    <w:r w:rsidRPr="00060D9A">
      <w:rPr>
        <w:i/>
      </w:rPr>
      <w:fldChar w:fldCharType="begin"/>
    </w:r>
    <w:r w:rsidRPr="00060D9A">
      <w:rPr>
        <w:i/>
      </w:rPr>
      <w:instrText xml:space="preserve"> FILENAME   \* MERGEFORMAT </w:instrText>
    </w:r>
    <w:r w:rsidRPr="00060D9A">
      <w:rPr>
        <w:i/>
      </w:rPr>
      <w:fldChar w:fldCharType="separate"/>
    </w:r>
    <w:r w:rsidRPr="00060D9A">
      <w:rPr>
        <w:i/>
        <w:noProof/>
      </w:rPr>
      <w:t>Spotkanie strategiczne i posiedzenie ZG - IX 2019.docx</w:t>
    </w:r>
    <w:r w:rsidRPr="00060D9A">
      <w:rPr>
        <w:i/>
      </w:rPr>
      <w:fldChar w:fldCharType="end"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CA280F">
      <w:rPr>
        <w:noProof/>
      </w:rPr>
      <w:t>4</w:t>
    </w:r>
    <w:r>
      <w:fldChar w:fldCharType="end"/>
    </w:r>
    <w:r w:rsidRPr="00087D57">
      <w:rPr>
        <w:i/>
        <w:sz w:val="18"/>
        <w:szCs w:val="18"/>
      </w:rPr>
      <w:t xml:space="preserve"> z </w:t>
    </w:r>
    <w:r w:rsidRPr="00087D57">
      <w:rPr>
        <w:i/>
        <w:sz w:val="18"/>
        <w:szCs w:val="18"/>
      </w:rPr>
      <w:fldChar w:fldCharType="begin"/>
    </w:r>
    <w:r w:rsidRPr="00087D57">
      <w:rPr>
        <w:i/>
        <w:sz w:val="18"/>
        <w:szCs w:val="18"/>
      </w:rPr>
      <w:instrText xml:space="preserve"> NUMPAGES   \* MERGEFORMAT </w:instrText>
    </w:r>
    <w:r w:rsidRPr="00087D57">
      <w:rPr>
        <w:i/>
        <w:sz w:val="18"/>
        <w:szCs w:val="18"/>
      </w:rPr>
      <w:fldChar w:fldCharType="separate"/>
    </w:r>
    <w:r w:rsidR="00CA280F">
      <w:rPr>
        <w:i/>
        <w:noProof/>
        <w:sz w:val="18"/>
        <w:szCs w:val="18"/>
      </w:rPr>
      <w:t>4</w:t>
    </w:r>
    <w:r w:rsidRPr="00087D5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94" w:rsidRDefault="000B7494" w:rsidP="00087D57">
      <w:pPr>
        <w:spacing w:after="0" w:line="240" w:lineRule="auto"/>
      </w:pPr>
      <w:r>
        <w:separator/>
      </w:r>
    </w:p>
  </w:footnote>
  <w:footnote w:type="continuationSeparator" w:id="0">
    <w:p w:rsidR="000B7494" w:rsidRDefault="000B7494" w:rsidP="0008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844"/>
    <w:multiLevelType w:val="hybridMultilevel"/>
    <w:tmpl w:val="E89A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D"/>
    <w:rsid w:val="00040A44"/>
    <w:rsid w:val="00041FF4"/>
    <w:rsid w:val="00060D9A"/>
    <w:rsid w:val="00087D57"/>
    <w:rsid w:val="000B7494"/>
    <w:rsid w:val="000C2759"/>
    <w:rsid w:val="0013714D"/>
    <w:rsid w:val="0018114D"/>
    <w:rsid w:val="002F7CDB"/>
    <w:rsid w:val="00320CEE"/>
    <w:rsid w:val="003F1F21"/>
    <w:rsid w:val="00422EB4"/>
    <w:rsid w:val="00455DF3"/>
    <w:rsid w:val="004E4B94"/>
    <w:rsid w:val="00576F1F"/>
    <w:rsid w:val="00706EC9"/>
    <w:rsid w:val="007D60B8"/>
    <w:rsid w:val="007F7C8C"/>
    <w:rsid w:val="00873399"/>
    <w:rsid w:val="00876D11"/>
    <w:rsid w:val="008A573B"/>
    <w:rsid w:val="008C73C1"/>
    <w:rsid w:val="00942C87"/>
    <w:rsid w:val="00A56304"/>
    <w:rsid w:val="00AA7494"/>
    <w:rsid w:val="00B61F19"/>
    <w:rsid w:val="00C07E0A"/>
    <w:rsid w:val="00CA280F"/>
    <w:rsid w:val="00DB2EDB"/>
    <w:rsid w:val="00E0159E"/>
    <w:rsid w:val="00F10AA6"/>
    <w:rsid w:val="00F615AB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93D2"/>
  <w15:chartTrackingRefBased/>
  <w15:docId w15:val="{AB465E51-E351-48B5-887A-A0D42F0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E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6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57"/>
  </w:style>
  <w:style w:type="paragraph" w:styleId="Stopka">
    <w:name w:val="footer"/>
    <w:basedOn w:val="Normalny"/>
    <w:link w:val="Stopka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ti.org.pl/wp-content/uploads/2019/01/U-ZG-15-XIII-17_z_2017-10-28_wp_zal2Regulamin-zwrot-koszt%C3%B3w-cz%C5%82onkohm-PTI-od-28.10.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pti.org.pl/spolecznosc/dlaczego-warto-dolaczyc/j-d-dlaczego-zdecydowalem-sie-przystapic-do-p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toriainformatyki.pl/historia/teczka.php?nonav=0&amp;&amp;nrar=6&amp;nrzesp=6&amp;sygn=V/1/11&amp;folder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365D-FD64-4608-8C02-9C696D4A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3</cp:revision>
  <dcterms:created xsi:type="dcterms:W3CDTF">2019-08-31T09:48:00Z</dcterms:created>
  <dcterms:modified xsi:type="dcterms:W3CDTF">2019-08-31T09:57:00Z</dcterms:modified>
</cp:coreProperties>
</file>