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11" w:rsidRPr="00582AC1" w:rsidRDefault="009755A7" w:rsidP="009755A7">
      <w:pPr>
        <w:jc w:val="center"/>
        <w:rPr>
          <w:rFonts w:ascii="Consolas" w:hAnsi="Consolas" w:cs="Arial"/>
          <w:b/>
          <w:sz w:val="28"/>
          <w:szCs w:val="28"/>
        </w:rPr>
      </w:pPr>
      <w:r w:rsidRPr="00582AC1">
        <w:rPr>
          <w:rFonts w:ascii="Consolas" w:hAnsi="Consolas" w:cs="Arial"/>
          <w:b/>
          <w:sz w:val="28"/>
          <w:szCs w:val="28"/>
        </w:rPr>
        <w:t xml:space="preserve">Zestawienie </w:t>
      </w:r>
      <w:r w:rsidR="00582AC1">
        <w:rPr>
          <w:rFonts w:ascii="Consolas" w:hAnsi="Consolas" w:cs="Arial"/>
          <w:b/>
          <w:sz w:val="28"/>
          <w:szCs w:val="28"/>
        </w:rPr>
        <w:t>strategicznych celów i form realizacji celów oraz strategicznych kierunków i działań</w:t>
      </w:r>
    </w:p>
    <w:p w:rsidR="009755A7" w:rsidRPr="006E5189" w:rsidRDefault="009755A7" w:rsidP="009755A7">
      <w:pPr>
        <w:jc w:val="center"/>
        <w:rPr>
          <w:rFonts w:ascii="Consolas" w:hAnsi="Consolas" w:cs="Arial"/>
        </w:rPr>
      </w:pPr>
    </w:p>
    <w:p w:rsidR="00434146" w:rsidRPr="009755A7" w:rsidRDefault="00434146" w:rsidP="00244B04">
      <w:pPr>
        <w:pStyle w:val="Nagwek3"/>
        <w:widowControl/>
        <w:rPr>
          <w:rFonts w:ascii="Consolas" w:hAnsi="Consolas" w:cs="Arial"/>
          <w:sz w:val="22"/>
          <w:szCs w:val="22"/>
        </w:rPr>
      </w:pPr>
      <w:bookmarkStart w:id="0" w:name="_Toc454363955"/>
      <w:bookmarkStart w:id="1" w:name="_Toc454364177"/>
      <w:bookmarkStart w:id="2" w:name="_Toc454446245"/>
      <w:bookmarkStart w:id="3" w:name="_Toc454700779"/>
      <w:bookmarkStart w:id="4" w:name="_Toc486371507"/>
      <w:r w:rsidRPr="009755A7">
        <w:rPr>
          <w:rFonts w:ascii="Consolas" w:hAnsi="Consolas" w:cs="Arial"/>
          <w:sz w:val="22"/>
          <w:szCs w:val="22"/>
        </w:rPr>
        <w:t>§ 7 Cele i formy działania PTI</w:t>
      </w:r>
      <w:bookmarkEnd w:id="0"/>
      <w:bookmarkEnd w:id="1"/>
      <w:bookmarkEnd w:id="2"/>
      <w:bookmarkEnd w:id="3"/>
      <w:bookmarkEnd w:id="4"/>
      <w:r w:rsidR="00244B04">
        <w:rPr>
          <w:rFonts w:ascii="Consolas" w:hAnsi="Consolas" w:cs="Arial"/>
          <w:sz w:val="22"/>
          <w:szCs w:val="22"/>
        </w:rPr>
        <w:t xml:space="preserve"> (statut 2017)</w:t>
      </w:r>
    </w:p>
    <w:p w:rsidR="00434146" w:rsidRPr="006E5189" w:rsidRDefault="00434146">
      <w:pPr>
        <w:rPr>
          <w:rFonts w:ascii="Consolas" w:hAnsi="Consolas" w:cs="Arial"/>
        </w:rPr>
      </w:pPr>
    </w:p>
    <w:p w:rsidR="00434146" w:rsidRPr="006E5189" w:rsidRDefault="00434146" w:rsidP="00D942C4">
      <w:pPr>
        <w:pStyle w:val="Numerowany"/>
        <w:widowControl/>
        <w:numPr>
          <w:ilvl w:val="0"/>
          <w:numId w:val="0"/>
        </w:numPr>
        <w:ind w:left="360"/>
        <w:rPr>
          <w:rFonts w:ascii="Consolas" w:hAnsi="Consolas" w:cs="Arial"/>
        </w:rPr>
      </w:pPr>
      <w:r w:rsidRPr="006E5189">
        <w:rPr>
          <w:rFonts w:ascii="Consolas" w:hAnsi="Consolas" w:cs="Arial"/>
        </w:rPr>
        <w:t>Cel</w:t>
      </w:r>
      <w:r w:rsidR="00D942C4" w:rsidRPr="006E5189">
        <w:rPr>
          <w:rFonts w:ascii="Consolas" w:hAnsi="Consolas" w:cs="Arial"/>
        </w:rPr>
        <w:t>e towarzystwa wg par. 7 ust. 1 statutu 2017: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137"/>
        <w:gridCol w:w="8076"/>
      </w:tblGrid>
      <w:tr w:rsidR="007203A7" w:rsidRPr="006E5189" w:rsidTr="009755A7">
        <w:tc>
          <w:tcPr>
            <w:tcW w:w="1137" w:type="dxa"/>
          </w:tcPr>
          <w:p w:rsidR="007203A7" w:rsidRPr="006E5189" w:rsidRDefault="007203A7" w:rsidP="00960C2C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reprezentowanie członków Towarzystwa, ich opinii, potrzeb i interesów wobec społeczeństwa, władz oraz organizacji pozarządowych w kraju i za granicą,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960C2C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wspomaganie osób, instytucji i organizacji zajmujących się informatyką lub korzystających z rozwiązań informatycznych,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960C2C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wykonywanie zadań dotyczących informatyki w sferze działalności publicznej w zakresie nauki, edukacji, oświaty i wychowania,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popieranie doskonalenia kwalifikacji i uzyskiwania świadectw oraz certyfikatów uprawniających do wykonywania zawodu informatyka,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dbałość o wysoki poziom etyczny i zawodowy członków oraz tworzenie warunków do jego podnoszenia, a także oddziaływanie w tym kierunku na inne osoby i organizacje zajmujące się informatyką,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prowadzenie działalności naukowej, naukowo-badawczej i naukowo-technicznej, w tym współpraca ze stowarzyszeniami i towarzystwami naukowymi,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popieranie działalności naukowej, naukowo-badawczej i naukowo-technicznej we wszystkich dziedzinach informatyki i doskonalenia metod jej efektywnego wykorzystania,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ułatwianie wymiany informacji w środowisku zawodowym,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popularyzacja zagadnień informatyki i jej zastosowań,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dbałość o poziom edukacji informatycznej,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propagowanie idei ECDL (Europejskiego Certyfikatu Umiejętności Komputerowych) i EUCIP (Europejskiego Certyfikatu Zawodu Informatyka),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rozpowszechnianie wiedzy specjalistycznej i podnoszenie poziomu zawodowego, w szczególności w ramach: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43257" w:rsidP="00F23A13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</w:t>
            </w:r>
            <w:r w:rsidR="00F23A13" w:rsidRPr="006E5189">
              <w:rPr>
                <w:rFonts w:ascii="Consolas" w:hAnsi="Consolas" w:cs="Arial"/>
              </w:rPr>
              <w:t>l.i</w:t>
            </w:r>
          </w:p>
        </w:tc>
        <w:tc>
          <w:tcPr>
            <w:tcW w:w="8076" w:type="dxa"/>
          </w:tcPr>
          <w:p w:rsidR="007203A7" w:rsidRPr="006E5189" w:rsidRDefault="007203A7" w:rsidP="00681BCF">
            <w:pPr>
              <w:widowControl/>
              <w:numPr>
                <w:ilvl w:val="2"/>
                <w:numId w:val="2"/>
              </w:numPr>
              <w:shd w:val="clear" w:color="auto" w:fill="FFFFFF"/>
              <w:tabs>
                <w:tab w:val="left" w:pos="882"/>
              </w:tabs>
              <w:ind w:left="882" w:hanging="500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kursów i szkoleń specjalistycznych dla informatyków czynnych zawodowo, opcjonalnie kończonych certyfikatem wydawanym przez PTI, konferencji, odczytów, wystaw, pokazów technicznych, bibliotek, portali internetowych i webinariów informatycznych, platformy rozwoju zawodowego na preferencyjnych warunkach dla członków PTI konkursów, działalności wydawniczej, popularyzatorskiej i integracyjnej,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43257" w:rsidP="00F23A13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</w:t>
            </w:r>
            <w:r w:rsidR="00F23A13" w:rsidRPr="006E5189">
              <w:rPr>
                <w:rFonts w:ascii="Consolas" w:hAnsi="Consolas" w:cs="Arial"/>
              </w:rPr>
              <w:t>l.i</w:t>
            </w:r>
            <w:r w:rsidR="00106A48" w:rsidRPr="006E5189">
              <w:rPr>
                <w:rFonts w:ascii="Consolas" w:hAnsi="Consolas" w:cs="Arial"/>
              </w:rPr>
              <w:t>i</w:t>
            </w:r>
          </w:p>
        </w:tc>
        <w:tc>
          <w:tcPr>
            <w:tcW w:w="8076" w:type="dxa"/>
          </w:tcPr>
          <w:p w:rsidR="007203A7" w:rsidRPr="006E5189" w:rsidRDefault="007203A7" w:rsidP="00681BCF">
            <w:pPr>
              <w:widowControl/>
              <w:numPr>
                <w:ilvl w:val="2"/>
                <w:numId w:val="2"/>
              </w:numPr>
              <w:shd w:val="clear" w:color="auto" w:fill="FFFFFF"/>
              <w:tabs>
                <w:tab w:val="left" w:pos="882"/>
              </w:tabs>
              <w:ind w:left="882" w:hanging="500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prowadzenia szkół średnich, policealnych i wyższych oraz studiów podyplomowych o kierunkach nauczania związanych z informatyką i dziedzinami pokrewnymi,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43257" w:rsidP="00106A48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</w:t>
            </w:r>
            <w:r w:rsidR="00106A48" w:rsidRPr="006E5189">
              <w:rPr>
                <w:rFonts w:ascii="Consolas" w:hAnsi="Consolas" w:cs="Arial"/>
              </w:rPr>
              <w:t>l.iii</w:t>
            </w:r>
          </w:p>
        </w:tc>
        <w:tc>
          <w:tcPr>
            <w:tcW w:w="8076" w:type="dxa"/>
          </w:tcPr>
          <w:p w:rsidR="007203A7" w:rsidRPr="006E5189" w:rsidRDefault="007203A7" w:rsidP="00681BCF">
            <w:pPr>
              <w:widowControl/>
              <w:numPr>
                <w:ilvl w:val="2"/>
                <w:numId w:val="2"/>
              </w:numPr>
              <w:shd w:val="clear" w:color="auto" w:fill="FFFFFF"/>
              <w:tabs>
                <w:tab w:val="left" w:pos="882"/>
              </w:tabs>
              <w:ind w:left="882" w:hanging="500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klubów oraz innych ośrodków, a także akcji i imprez mających na celu podnoszenie kwalifikacji zawodowych członków Towarzystwa oraz integracji środowiska zawodowego, rekomendowanego i okresowo aktualizowanego wzorcowego wykazu nazw stanowisk informatycznych merytorycznych, wraz z zarządczymi i towarzyszącymi w przedsiębiorstwach informatycznych, w powiązaniu z innymi tego typu wykazami,</w:t>
            </w:r>
          </w:p>
        </w:tc>
      </w:tr>
      <w:tr w:rsidR="00106A48" w:rsidRPr="006E5189" w:rsidTr="009755A7">
        <w:tc>
          <w:tcPr>
            <w:tcW w:w="1137" w:type="dxa"/>
          </w:tcPr>
          <w:p w:rsidR="00106A48" w:rsidRPr="006E5189" w:rsidRDefault="00743257" w:rsidP="00106A48">
            <w:pPr>
              <w:widowControl/>
              <w:ind w:left="151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1.</w:t>
            </w:r>
            <w:r w:rsidR="00106A48" w:rsidRPr="006E5189">
              <w:rPr>
                <w:rFonts w:ascii="Consolas" w:hAnsi="Consolas" w:cs="Arial"/>
              </w:rPr>
              <w:t>l.iv</w:t>
            </w:r>
          </w:p>
        </w:tc>
        <w:tc>
          <w:tcPr>
            <w:tcW w:w="8076" w:type="dxa"/>
          </w:tcPr>
          <w:p w:rsidR="00106A48" w:rsidRPr="006E5189" w:rsidRDefault="00106A48" w:rsidP="00681BCF">
            <w:pPr>
              <w:widowControl/>
              <w:numPr>
                <w:ilvl w:val="2"/>
                <w:numId w:val="2"/>
              </w:numPr>
              <w:shd w:val="clear" w:color="auto" w:fill="FFFFFF"/>
              <w:tabs>
                <w:tab w:val="left" w:pos="882"/>
              </w:tabs>
              <w:ind w:left="882" w:hanging="500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wewnętrznego systemu potwierdzania kwalifikacji i umiejętności informatycznych zgodnie z przepisami rozdziału IV - Systemy potwierdzania kwalifikacji i umiejętności informatycznych,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udział w budowaniu społeczeństwa informacyjnego,</w:t>
            </w:r>
          </w:p>
        </w:tc>
      </w:tr>
      <w:tr w:rsidR="007203A7" w:rsidRPr="006E5189" w:rsidTr="009755A7">
        <w:tc>
          <w:tcPr>
            <w:tcW w:w="1137" w:type="dxa"/>
          </w:tcPr>
          <w:p w:rsidR="007203A7" w:rsidRPr="006E5189" w:rsidRDefault="007203A7" w:rsidP="00F23A13">
            <w:pPr>
              <w:pStyle w:val="Akapitzlist"/>
              <w:widowControl/>
              <w:numPr>
                <w:ilvl w:val="0"/>
                <w:numId w:val="8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076" w:type="dxa"/>
          </w:tcPr>
          <w:p w:rsidR="007203A7" w:rsidRPr="006E5189" w:rsidRDefault="007203A7" w:rsidP="007C6D30">
            <w:pPr>
              <w:widowControl/>
              <w:numPr>
                <w:ilvl w:val="0"/>
                <w:numId w:val="3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dbałość o dziedzictwo historii informatyki.</w:t>
            </w:r>
          </w:p>
        </w:tc>
      </w:tr>
    </w:tbl>
    <w:p w:rsidR="00434146" w:rsidRPr="006E5189" w:rsidRDefault="00434146">
      <w:pPr>
        <w:rPr>
          <w:rFonts w:ascii="Consolas" w:hAnsi="Consolas" w:cs="Arial"/>
        </w:rPr>
      </w:pPr>
    </w:p>
    <w:p w:rsidR="00166611" w:rsidRPr="006E5189" w:rsidRDefault="00166611">
      <w:pPr>
        <w:rPr>
          <w:rFonts w:ascii="Consolas" w:hAnsi="Consolas" w:cs="Arial"/>
        </w:rPr>
      </w:pPr>
    </w:p>
    <w:p w:rsidR="00743257" w:rsidRPr="006E5189" w:rsidRDefault="00743257">
      <w:pPr>
        <w:rPr>
          <w:rFonts w:ascii="Consolas" w:hAnsi="Consolas" w:cs="Arial"/>
        </w:rPr>
      </w:pPr>
    </w:p>
    <w:p w:rsidR="00743257" w:rsidRPr="006E5189" w:rsidRDefault="00743257">
      <w:pPr>
        <w:rPr>
          <w:rFonts w:ascii="Consolas" w:hAnsi="Consolas" w:cs="Arial"/>
        </w:rPr>
      </w:pPr>
    </w:p>
    <w:p w:rsidR="00434146" w:rsidRPr="006E5189" w:rsidRDefault="00D942C4" w:rsidP="00D942C4">
      <w:pPr>
        <w:pStyle w:val="Numerowany"/>
        <w:widowControl/>
        <w:numPr>
          <w:ilvl w:val="0"/>
          <w:numId w:val="0"/>
        </w:numPr>
        <w:ind w:left="360"/>
        <w:rPr>
          <w:rFonts w:ascii="Consolas" w:hAnsi="Consolas" w:cs="Arial"/>
        </w:rPr>
      </w:pPr>
      <w:r w:rsidRPr="006E5189">
        <w:rPr>
          <w:rFonts w:ascii="Consolas" w:hAnsi="Consolas" w:cs="Arial"/>
        </w:rPr>
        <w:t>Formy działań (realizacji celów) wg par. 7 ust. 2 i rozdz. IV statutu 2017: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850"/>
        <w:gridCol w:w="8363"/>
      </w:tblGrid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współdziałanie z właściwymi organami administracji publicznej, samorządami gospodarczymi oraz innymi organizacjami krajowymi, zagranicznymi i międzynarodowymi,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popieranie i nagradzanie badań naukowych,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nadawanie certyfikatów potwierdzających posiadanie umiejętności związanych z informatyką,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analizowanie oraz opiniowanie istniejących i planowanych dokumentów określających kierunki, zakres i sposoby prowadzenia edukacji informatycznej w kraju, a także współdziałanie z właściwymi instytucjami w zakresie tworzenia tych dokumentów,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wspieranie prac mających na celu podnoszenie jakości rozwiązań informatycznych oraz inicjowanie, opracowywanie i opiniowanie norm dotyczących informatyki, a także opiniowanie państwowych i lokalnych programów oraz planów w dziedzinie informatyki,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wykonywanie ekspertyz, ocen i opinii oraz innych prac zlecanych przez organy administracji publicznej i podmioty gospodarcze,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przedstawianie organom administracji publicznej, organom samorządów zawodowych i gospodarczych oraz organizacjom pozarządowym stanowisk i wniosków,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organizowanie wyjazdów naukowych i studialnych, praktyk oraz stażów krajowych i zagranicznych,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organizowanie kongresów, konferencji oraz narad naukowych i naukowo-technicznych, krajowych i międzynarodowych,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inicjowanie tworzenia funduszów stypendialnych,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wnioskowanie i opiniowanie przyznawania oraz wykorzystania stypendiów z funduszów organizacji zagranicznych dla członków Towarzystwa,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udzielanie pomocy członkom Towarzystwa w sprawach związanych z wykonywaniem przez nich zawodu informatyka,</w:t>
            </w:r>
          </w:p>
        </w:tc>
      </w:tr>
      <w:tr w:rsidR="00C73F81" w:rsidRPr="006E5189" w:rsidTr="009755A7">
        <w:tc>
          <w:tcPr>
            <w:tcW w:w="850" w:type="dxa"/>
          </w:tcPr>
          <w:p w:rsidR="00C73F81" w:rsidRPr="006E5189" w:rsidRDefault="00C73F81" w:rsidP="00C73F81">
            <w:pPr>
              <w:pStyle w:val="Akapitzlist"/>
              <w:widowControl/>
              <w:numPr>
                <w:ilvl w:val="0"/>
                <w:numId w:val="10"/>
              </w:numPr>
              <w:ind w:left="428"/>
              <w:jc w:val="both"/>
              <w:rPr>
                <w:rFonts w:ascii="Consolas" w:hAnsi="Consolas" w:cs="Arial"/>
              </w:rPr>
            </w:pPr>
          </w:p>
        </w:tc>
        <w:tc>
          <w:tcPr>
            <w:tcW w:w="8363" w:type="dxa"/>
          </w:tcPr>
          <w:p w:rsidR="00C73F81" w:rsidRPr="006E5189" w:rsidRDefault="00C73F81" w:rsidP="00C73F81">
            <w:pPr>
              <w:widowControl/>
              <w:numPr>
                <w:ilvl w:val="0"/>
                <w:numId w:val="12"/>
              </w:numPr>
              <w:ind w:left="286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zgłaszanie i opiniowanie wniosków w sprawie odznaczeń i nagród dla członków Towarzystwa, ochronę sfery materialnych interesów członków Towarzystwa, łącznie ze świadczeniem im pomocy materialnej w uzasadnionych przypadkach.</w:t>
            </w:r>
          </w:p>
        </w:tc>
      </w:tr>
      <w:tr w:rsidR="00166611" w:rsidRPr="006E5189" w:rsidTr="009755A7">
        <w:tc>
          <w:tcPr>
            <w:tcW w:w="850" w:type="dxa"/>
          </w:tcPr>
          <w:p w:rsidR="00166611" w:rsidRPr="006E5189" w:rsidRDefault="00166611" w:rsidP="00166611">
            <w:pPr>
              <w:widowControl/>
              <w:ind w:left="68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r. IV</w:t>
            </w:r>
          </w:p>
        </w:tc>
        <w:tc>
          <w:tcPr>
            <w:tcW w:w="8363" w:type="dxa"/>
          </w:tcPr>
          <w:p w:rsidR="00166611" w:rsidRPr="006E5189" w:rsidRDefault="00166611" w:rsidP="00166611">
            <w:pPr>
              <w:widowControl/>
              <w:ind w:left="-74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Systemy potwierdzania kwalifikacji i umiejętności informatycznych</w:t>
            </w:r>
          </w:p>
        </w:tc>
      </w:tr>
    </w:tbl>
    <w:p w:rsidR="00743257" w:rsidRPr="006E5189" w:rsidRDefault="00743257" w:rsidP="00743257">
      <w:pPr>
        <w:widowControl/>
        <w:jc w:val="both"/>
        <w:rPr>
          <w:rFonts w:ascii="Consolas" w:hAnsi="Consolas" w:cs="Arial"/>
        </w:rPr>
      </w:pPr>
    </w:p>
    <w:p w:rsidR="00D003BB" w:rsidRPr="006E5189" w:rsidRDefault="00D003BB" w:rsidP="00743257">
      <w:pPr>
        <w:widowControl/>
        <w:jc w:val="both"/>
        <w:rPr>
          <w:rFonts w:ascii="Consolas" w:hAnsi="Consolas" w:cs="Arial"/>
        </w:rPr>
      </w:pPr>
    </w:p>
    <w:p w:rsidR="00D003BB" w:rsidRPr="006E5189" w:rsidRDefault="00D003BB" w:rsidP="00743257">
      <w:pPr>
        <w:widowControl/>
        <w:jc w:val="both"/>
        <w:rPr>
          <w:rFonts w:ascii="Consolas" w:hAnsi="Consolas" w:cs="Arial"/>
        </w:rPr>
      </w:pPr>
    </w:p>
    <w:p w:rsidR="00D003BB" w:rsidRPr="006E5189" w:rsidRDefault="00D003BB" w:rsidP="00D003BB">
      <w:pPr>
        <w:pageBreakBefore/>
        <w:widowControl/>
        <w:jc w:val="both"/>
        <w:rPr>
          <w:rFonts w:ascii="Consolas" w:hAnsi="Consolas" w:cs="Arial"/>
        </w:rPr>
      </w:pPr>
    </w:p>
    <w:p w:rsidR="00D003BB" w:rsidRPr="00244B04" w:rsidRDefault="00D942C4" w:rsidP="00244B04">
      <w:pPr>
        <w:pStyle w:val="Nagwek3"/>
        <w:widowControl/>
        <w:rPr>
          <w:rFonts w:ascii="Consolas" w:hAnsi="Consolas" w:cs="Arial"/>
          <w:sz w:val="22"/>
          <w:szCs w:val="22"/>
        </w:rPr>
      </w:pPr>
      <w:r w:rsidRPr="00244B04">
        <w:rPr>
          <w:rFonts w:ascii="Consolas" w:hAnsi="Consolas" w:cs="Arial"/>
          <w:sz w:val="22"/>
          <w:szCs w:val="22"/>
        </w:rPr>
        <w:t>Kierunk</w:t>
      </w:r>
      <w:r w:rsidR="00244B04">
        <w:rPr>
          <w:rFonts w:ascii="Consolas" w:hAnsi="Consolas" w:cs="Arial"/>
          <w:sz w:val="22"/>
          <w:szCs w:val="22"/>
        </w:rPr>
        <w:t>i</w:t>
      </w:r>
      <w:r w:rsidRPr="00244B04">
        <w:rPr>
          <w:rFonts w:ascii="Consolas" w:hAnsi="Consolas" w:cs="Arial"/>
          <w:sz w:val="22"/>
          <w:szCs w:val="22"/>
        </w:rPr>
        <w:t xml:space="preserve"> strategiczne wg strategii 2015-2020</w:t>
      </w:r>
    </w:p>
    <w:p w:rsidR="006E16A5" w:rsidRPr="006E5189" w:rsidRDefault="006E16A5" w:rsidP="00743257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6E16A5" w:rsidRPr="006E5189" w:rsidTr="00B57F5E">
        <w:trPr>
          <w:tblHeader/>
        </w:trPr>
        <w:tc>
          <w:tcPr>
            <w:tcW w:w="1275" w:type="dxa"/>
            <w:shd w:val="clear" w:color="auto" w:fill="F2F2F2" w:themeFill="background1" w:themeFillShade="F2"/>
          </w:tcPr>
          <w:p w:rsidR="006E16A5" w:rsidRPr="006E5189" w:rsidRDefault="006E16A5" w:rsidP="001C6E22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  <w:bookmarkStart w:id="5" w:name="_GoBack"/>
          </w:p>
        </w:tc>
        <w:tc>
          <w:tcPr>
            <w:tcW w:w="7938" w:type="dxa"/>
            <w:shd w:val="clear" w:color="auto" w:fill="F2F2F2" w:themeFill="background1" w:themeFillShade="F2"/>
          </w:tcPr>
          <w:p w:rsidR="006E16A5" w:rsidRPr="006E5189" w:rsidRDefault="00371BC4" w:rsidP="00743257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6E5189">
              <w:rPr>
                <w:rFonts w:ascii="Consolas" w:hAnsi="Consolas" w:cs="Arial"/>
                <w:b/>
              </w:rPr>
              <w:t>„Wspólnota – członkowie, sympatycy, współpraca”</w:t>
            </w:r>
          </w:p>
        </w:tc>
      </w:tr>
      <w:bookmarkEnd w:id="5"/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Organizacja spotkań, konferencji, seminariów, debat promujących innowacyjność i nowości, integrujących środowisko, w tym np. nowej centralnej członkowskiej konferencji merytoryczno-integracyjnej PTI.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Kontynuowanie i doskonalenie Biuletynu PTI.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Unowocześnienie i systematyczne doskonalenie portalu informacyjnego towarzystwa.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Organizacja konkursów dla członków w zakresie istotnych zadań i prac szczególnie ważnych dla PTI z przyznawaniem wyróżnień i nagród.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Przedsięwzięcia badawczo-naukowe, konferencje, seminaria i publikacje, w tym konkursy wydawnicze.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Stworzenie systemu dofinansowania uczestnictwa członków PTI w konferencjach i innych projektach organizowanych przez PTI.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 xml:space="preserve">Organizacja wykładów otwartych i konferencji otwartych dla członków PTI oraz uczestników spoza PTI. 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 xml:space="preserve">Opracowanie kampanii promującej członkostwo dla środowiska nauki, biznesu i administracji. 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 xml:space="preserve">Opracowanie kampanii promocyjnej o PTI dla osób pretendujących do zawodu informatyka. 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Promowanie nagród i wyróżnień przyznawanych przez PTI.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Cykliczny, co najmniej coroczny, przegląd członkowskich jednostek organizacyjnych Towarzystwa.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 xml:space="preserve">Udział w komisjach i kapitułach nagród informatycznych. 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Współpraca dziedzinowa z: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93232E" w:rsidP="0093232E">
            <w:pPr>
              <w:widowControl/>
              <w:ind w:left="32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K-I.13.1</w:t>
            </w:r>
          </w:p>
        </w:tc>
        <w:tc>
          <w:tcPr>
            <w:tcW w:w="7938" w:type="dxa"/>
          </w:tcPr>
          <w:p w:rsidR="0033076D" w:rsidRPr="006E5189" w:rsidRDefault="0033076D" w:rsidP="00015B7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60"/>
              <w:ind w:left="744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innymi organizacjami związanymi z informatyką, w tym IEEE, CEPIS, Fundacji ECDL, EUCIP,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rPr>
                <w:rFonts w:ascii="Consolas" w:hAnsi="Consolas"/>
              </w:rPr>
            </w:pPr>
            <w:r w:rsidRPr="006E5189">
              <w:rPr>
                <w:rFonts w:ascii="Consolas" w:hAnsi="Consolas" w:cs="Arial"/>
              </w:rPr>
              <w:t>K-I.13.2</w:t>
            </w:r>
          </w:p>
        </w:tc>
        <w:tc>
          <w:tcPr>
            <w:tcW w:w="7938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60"/>
              <w:ind w:left="744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środowiskami informatycznymi, jak ruch wolnego i otwartego oprogramowania (</w:t>
            </w:r>
            <w:proofErr w:type="spellStart"/>
            <w:r w:rsidRPr="006E5189">
              <w:rPr>
                <w:rFonts w:ascii="Consolas" w:hAnsi="Consolas" w:cs="Arial"/>
              </w:rPr>
              <w:t>WiOO</w:t>
            </w:r>
            <w:proofErr w:type="spellEnd"/>
            <w:r w:rsidRPr="006E5189">
              <w:rPr>
                <w:rFonts w:ascii="Consolas" w:hAnsi="Consolas" w:cs="Arial"/>
              </w:rPr>
              <w:t>),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rPr>
                <w:rFonts w:ascii="Consolas" w:hAnsi="Consolas"/>
              </w:rPr>
            </w:pPr>
            <w:r w:rsidRPr="006E5189">
              <w:rPr>
                <w:rFonts w:ascii="Consolas" w:hAnsi="Consolas" w:cs="Arial"/>
              </w:rPr>
              <w:t>K-I.13.3</w:t>
            </w:r>
          </w:p>
        </w:tc>
        <w:tc>
          <w:tcPr>
            <w:tcW w:w="7938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60"/>
              <w:ind w:left="744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organami administracji publicznej.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 xml:space="preserve">Podjęcie aktywnej współpracy z organizacjami pozarządowymi na rzecz wspólnego budowania społeczeństwa informacyjnego. </w:t>
            </w:r>
          </w:p>
        </w:tc>
      </w:tr>
      <w:tr w:rsidR="0033076D" w:rsidRPr="006E5189" w:rsidTr="009755A7">
        <w:tc>
          <w:tcPr>
            <w:tcW w:w="1275" w:type="dxa"/>
          </w:tcPr>
          <w:p w:rsidR="0033076D" w:rsidRPr="006E5189" w:rsidRDefault="0033076D" w:rsidP="0033076D">
            <w:pPr>
              <w:pStyle w:val="Akapitzlist"/>
              <w:widowControl/>
              <w:numPr>
                <w:ilvl w:val="0"/>
                <w:numId w:val="14"/>
              </w:numPr>
              <w:ind w:left="32" w:firstLine="0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33076D" w:rsidRPr="006E5189" w:rsidRDefault="0033076D" w:rsidP="0033076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 w:cs="Arial"/>
              </w:rPr>
            </w:pPr>
            <w:r w:rsidRPr="006E5189">
              <w:rPr>
                <w:rFonts w:ascii="Consolas" w:hAnsi="Consolas" w:cs="Arial"/>
              </w:rPr>
              <w:t>Popularyzacja polskiej informatyki na forum międzynarodowym.</w:t>
            </w:r>
          </w:p>
        </w:tc>
      </w:tr>
    </w:tbl>
    <w:p w:rsidR="00072B78" w:rsidRPr="006E5189" w:rsidRDefault="00072B78" w:rsidP="009863A7">
      <w:pPr>
        <w:widowControl/>
        <w:tabs>
          <w:tab w:val="left" w:pos="1809"/>
        </w:tabs>
        <w:autoSpaceDE/>
        <w:autoSpaceDN/>
        <w:adjustRightInd/>
        <w:spacing w:after="60"/>
        <w:ind w:left="174"/>
        <w:rPr>
          <w:rFonts w:ascii="Consolas" w:hAnsi="Consolas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371BC4" w:rsidRPr="006E5189" w:rsidTr="00B57F5E">
        <w:trPr>
          <w:tblHeader/>
        </w:trPr>
        <w:tc>
          <w:tcPr>
            <w:tcW w:w="1275" w:type="dxa"/>
            <w:shd w:val="clear" w:color="auto" w:fill="F2F2F2" w:themeFill="background1" w:themeFillShade="F2"/>
          </w:tcPr>
          <w:p w:rsidR="00371BC4" w:rsidRPr="006E5189" w:rsidRDefault="00371BC4" w:rsidP="0017401B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371BC4" w:rsidRPr="006E5189" w:rsidRDefault="0093232E" w:rsidP="00371BC4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6E5189">
              <w:rPr>
                <w:rFonts w:ascii="Consolas" w:hAnsi="Consolas" w:cs="Arial"/>
                <w:b/>
              </w:rPr>
              <w:t>„Nauka – badania, rozwój, kształcenie, wiedza”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93232E" w:rsidRPr="006E5189" w:rsidRDefault="0093232E" w:rsidP="0093232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Współpraca dziedzinowa z uczelniami wyższymi i instytucjami naukowymi oraz badawczymi.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93232E" w:rsidRPr="006E5189" w:rsidRDefault="0093232E" w:rsidP="0093232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Opiniowanie programów nauczania na poziomie ciał stanowiących na uczelniach i na poziomie Polskiej Komisji Akredytacyjnej. 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93232E" w:rsidRPr="006E5189" w:rsidRDefault="0093232E" w:rsidP="0093232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Aktywne funkcjonowanie Rady Naukowej PTI, będącej łącznikiem pomiędzy środowiskami PTI i nauk informatycznych.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93232E" w:rsidRPr="006E5189" w:rsidRDefault="0093232E" w:rsidP="0093232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Aktywna praca przy tworzeniu podstawy programowej dla przedmiotów informatycznych. 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93232E" w:rsidRPr="006E5189" w:rsidRDefault="0093232E" w:rsidP="0093232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Rozszerzenie współpracy z KI PAN i </w:t>
            </w:r>
            <w:proofErr w:type="spellStart"/>
            <w:r w:rsidRPr="006E5189">
              <w:rPr>
                <w:rFonts w:ascii="Consolas" w:hAnsi="Consolas"/>
              </w:rPr>
              <w:t>i</w:t>
            </w:r>
            <w:proofErr w:type="spellEnd"/>
            <w:r w:rsidRPr="006E5189">
              <w:rPr>
                <w:rFonts w:ascii="Consolas" w:hAnsi="Consolas"/>
              </w:rPr>
              <w:t xml:space="preserve"> innymi placówkami naukowymi, w tym IPI PAN, IHN PAN.</w:t>
            </w:r>
          </w:p>
        </w:tc>
      </w:tr>
      <w:tr w:rsidR="0093232E" w:rsidRPr="006E5189" w:rsidTr="009755A7">
        <w:tc>
          <w:tcPr>
            <w:tcW w:w="1275" w:type="dxa"/>
          </w:tcPr>
          <w:p w:rsidR="0093232E" w:rsidRPr="006E5189" w:rsidRDefault="0093232E" w:rsidP="0093232E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93232E" w:rsidRPr="006E5189" w:rsidRDefault="0093232E" w:rsidP="0093232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Opracowanie zasad akredytacji nauczania przedmiotów informatycznych na różnych poziomach edukacji. </w:t>
            </w:r>
          </w:p>
        </w:tc>
      </w:tr>
      <w:tr w:rsidR="005C4A0A" w:rsidRPr="006E5189" w:rsidTr="009755A7">
        <w:tc>
          <w:tcPr>
            <w:tcW w:w="1275" w:type="dxa"/>
          </w:tcPr>
          <w:p w:rsidR="005C4A0A" w:rsidRPr="006E5189" w:rsidRDefault="005C4A0A" w:rsidP="005C4A0A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5C4A0A" w:rsidRPr="005C4A0A" w:rsidRDefault="005C4A0A" w:rsidP="005C4A0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5C4A0A">
              <w:rPr>
                <w:rFonts w:ascii="Consolas" w:hAnsi="Consolas"/>
              </w:rPr>
              <w:t>Inicjowanie, wspieranie i promowanie bada</w:t>
            </w:r>
            <w:r w:rsidRPr="005C4A0A">
              <w:rPr>
                <w:rFonts w:ascii="Consolas" w:hAnsi="Consolas" w:hint="eastAsia"/>
              </w:rPr>
              <w:t>ń</w:t>
            </w:r>
            <w:r w:rsidRPr="005C4A0A">
              <w:rPr>
                <w:rFonts w:ascii="Consolas" w:hAnsi="Consolas"/>
              </w:rPr>
              <w:t xml:space="preserve"> i prac wdro</w:t>
            </w:r>
            <w:r w:rsidRPr="005C4A0A">
              <w:rPr>
                <w:rFonts w:ascii="Consolas" w:hAnsi="Consolas" w:hint="eastAsia"/>
              </w:rPr>
              <w:t>ż</w:t>
            </w:r>
            <w:r w:rsidRPr="005C4A0A">
              <w:rPr>
                <w:rFonts w:ascii="Consolas" w:hAnsi="Consolas"/>
              </w:rPr>
              <w:t>eniowych dotycz</w:t>
            </w:r>
            <w:r w:rsidRPr="005C4A0A">
              <w:rPr>
                <w:rFonts w:ascii="Consolas" w:hAnsi="Consolas" w:hint="eastAsia"/>
              </w:rPr>
              <w:t>ą</w:t>
            </w:r>
            <w:r w:rsidRPr="005C4A0A">
              <w:rPr>
                <w:rFonts w:ascii="Consolas" w:hAnsi="Consolas"/>
              </w:rPr>
              <w:t>cych narz</w:t>
            </w:r>
            <w:r w:rsidRPr="005C4A0A">
              <w:rPr>
                <w:rFonts w:ascii="Consolas" w:hAnsi="Consolas" w:hint="eastAsia"/>
              </w:rPr>
              <w:t>ę</w:t>
            </w:r>
            <w:r w:rsidRPr="005C4A0A">
              <w:rPr>
                <w:rFonts w:ascii="Consolas" w:hAnsi="Consolas"/>
              </w:rPr>
              <w:t>dzi i technologii informatycznych oraz us</w:t>
            </w:r>
            <w:r w:rsidRPr="005C4A0A">
              <w:rPr>
                <w:rFonts w:ascii="Consolas" w:hAnsi="Consolas" w:hint="eastAsia"/>
              </w:rPr>
              <w:t>ł</w:t>
            </w:r>
            <w:r w:rsidRPr="005C4A0A">
              <w:rPr>
                <w:rFonts w:ascii="Consolas" w:hAnsi="Consolas"/>
              </w:rPr>
              <w:t>ug, pozwalaj</w:t>
            </w:r>
            <w:r w:rsidRPr="005C4A0A">
              <w:rPr>
                <w:rFonts w:ascii="Consolas" w:hAnsi="Consolas" w:hint="eastAsia"/>
              </w:rPr>
              <w:t>ą</w:t>
            </w:r>
            <w:r w:rsidRPr="005C4A0A">
              <w:rPr>
                <w:rFonts w:ascii="Consolas" w:hAnsi="Consolas"/>
              </w:rPr>
              <w:t xml:space="preserve">cych na rozszerzanie zakresu zastosowania TIK w </w:t>
            </w:r>
            <w:r w:rsidRPr="005C4A0A">
              <w:rPr>
                <w:rFonts w:ascii="Consolas" w:hAnsi="Consolas" w:hint="eastAsia"/>
              </w:rPr>
              <w:t>ż</w:t>
            </w:r>
            <w:r w:rsidRPr="005C4A0A">
              <w:rPr>
                <w:rFonts w:ascii="Consolas" w:hAnsi="Consolas"/>
              </w:rPr>
              <w:t>yciu codziennym i popraw</w:t>
            </w:r>
            <w:r w:rsidRPr="005C4A0A">
              <w:rPr>
                <w:rFonts w:ascii="Consolas" w:hAnsi="Consolas" w:hint="eastAsia"/>
              </w:rPr>
              <w:t>ę</w:t>
            </w:r>
            <w:r w:rsidRPr="005C4A0A">
              <w:rPr>
                <w:rFonts w:ascii="Consolas" w:hAnsi="Consolas"/>
              </w:rPr>
              <w:t xml:space="preserve"> praktycznych korzy</w:t>
            </w:r>
            <w:r w:rsidRPr="005C4A0A">
              <w:rPr>
                <w:rFonts w:ascii="Consolas" w:hAnsi="Consolas" w:hint="eastAsia"/>
              </w:rPr>
              <w:t>ś</w:t>
            </w:r>
            <w:r w:rsidRPr="005C4A0A">
              <w:rPr>
                <w:rFonts w:ascii="Consolas" w:hAnsi="Consolas"/>
              </w:rPr>
              <w:t>ci, odnoszonych przez wszystkich obywateli.</w:t>
            </w:r>
          </w:p>
        </w:tc>
      </w:tr>
      <w:tr w:rsidR="005C4A0A" w:rsidRPr="006E5189" w:rsidTr="009755A7">
        <w:tc>
          <w:tcPr>
            <w:tcW w:w="1275" w:type="dxa"/>
          </w:tcPr>
          <w:p w:rsidR="005C4A0A" w:rsidRPr="006E5189" w:rsidRDefault="005C4A0A" w:rsidP="005C4A0A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5C4A0A" w:rsidRPr="005C4A0A" w:rsidRDefault="005C4A0A" w:rsidP="005C4A0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5C4A0A">
              <w:rPr>
                <w:rFonts w:ascii="Consolas" w:hAnsi="Consolas"/>
              </w:rPr>
              <w:t>Budowa Biblioteki Cyfrowej PTI z udostepnieniem w pierwszej kolejno</w:t>
            </w:r>
            <w:r w:rsidRPr="005C4A0A">
              <w:rPr>
                <w:rFonts w:ascii="Consolas" w:hAnsi="Consolas" w:hint="eastAsia"/>
              </w:rPr>
              <w:t>ś</w:t>
            </w:r>
            <w:r w:rsidRPr="005C4A0A">
              <w:rPr>
                <w:rFonts w:ascii="Consolas" w:hAnsi="Consolas"/>
              </w:rPr>
              <w:t>ci Biuletynu PTI, Pro Dialogu i archiwalnych materia</w:t>
            </w:r>
            <w:r w:rsidRPr="005C4A0A">
              <w:rPr>
                <w:rFonts w:ascii="Consolas" w:hAnsi="Consolas" w:hint="eastAsia"/>
              </w:rPr>
              <w:t>łó</w:t>
            </w:r>
            <w:r w:rsidRPr="005C4A0A">
              <w:rPr>
                <w:rFonts w:ascii="Consolas" w:hAnsi="Consolas"/>
              </w:rPr>
              <w:t>w konferencyjnych.</w:t>
            </w:r>
          </w:p>
        </w:tc>
      </w:tr>
      <w:tr w:rsidR="005C4A0A" w:rsidRPr="006E5189" w:rsidTr="009755A7">
        <w:tc>
          <w:tcPr>
            <w:tcW w:w="1275" w:type="dxa"/>
          </w:tcPr>
          <w:p w:rsidR="005C4A0A" w:rsidRPr="006E5189" w:rsidRDefault="005C4A0A" w:rsidP="005C4A0A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5C4A0A" w:rsidRPr="005C4A0A" w:rsidRDefault="005C4A0A" w:rsidP="005C4A0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5C4A0A">
              <w:rPr>
                <w:rFonts w:ascii="Consolas" w:hAnsi="Consolas"/>
              </w:rPr>
              <w:t>Utworzenie Biura Historii Informatyki.</w:t>
            </w:r>
          </w:p>
        </w:tc>
      </w:tr>
      <w:tr w:rsidR="005C4A0A" w:rsidRPr="006E5189" w:rsidTr="009755A7">
        <w:tc>
          <w:tcPr>
            <w:tcW w:w="1275" w:type="dxa"/>
          </w:tcPr>
          <w:p w:rsidR="005C4A0A" w:rsidRPr="006E5189" w:rsidRDefault="005C4A0A" w:rsidP="005C4A0A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5C4A0A" w:rsidRPr="005C4A0A" w:rsidRDefault="005C4A0A" w:rsidP="005C4A0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5C4A0A">
              <w:rPr>
                <w:rFonts w:ascii="Consolas" w:hAnsi="Consolas"/>
              </w:rPr>
              <w:t>Organizacja konferencji dotycz</w:t>
            </w:r>
            <w:r w:rsidRPr="005C4A0A">
              <w:rPr>
                <w:rFonts w:ascii="Consolas" w:hAnsi="Consolas" w:hint="eastAsia"/>
              </w:rPr>
              <w:t>ą</w:t>
            </w:r>
            <w:r w:rsidRPr="005C4A0A">
              <w:rPr>
                <w:rFonts w:ascii="Consolas" w:hAnsi="Consolas"/>
              </w:rPr>
              <w:t>cych zastosowa</w:t>
            </w:r>
            <w:r w:rsidRPr="005C4A0A">
              <w:rPr>
                <w:rFonts w:ascii="Consolas" w:hAnsi="Consolas" w:hint="eastAsia"/>
              </w:rPr>
              <w:t>ń</w:t>
            </w:r>
            <w:r w:rsidRPr="005C4A0A">
              <w:rPr>
                <w:rFonts w:ascii="Consolas" w:hAnsi="Consolas"/>
              </w:rPr>
              <w:t xml:space="preserve"> narz</w:t>
            </w:r>
            <w:r w:rsidRPr="005C4A0A">
              <w:rPr>
                <w:rFonts w:ascii="Consolas" w:hAnsi="Consolas" w:hint="eastAsia"/>
              </w:rPr>
              <w:t>ę</w:t>
            </w:r>
            <w:r w:rsidRPr="005C4A0A">
              <w:rPr>
                <w:rFonts w:ascii="Consolas" w:hAnsi="Consolas"/>
              </w:rPr>
              <w:t>dzi informatycznych w nauczaniu ró</w:t>
            </w:r>
            <w:r w:rsidRPr="005C4A0A">
              <w:rPr>
                <w:rFonts w:ascii="Consolas" w:hAnsi="Consolas" w:hint="eastAsia"/>
              </w:rPr>
              <w:t>ż</w:t>
            </w:r>
            <w:r w:rsidRPr="005C4A0A">
              <w:rPr>
                <w:rFonts w:ascii="Consolas" w:hAnsi="Consolas"/>
              </w:rPr>
              <w:t xml:space="preserve">nych przedmiotów. </w:t>
            </w:r>
          </w:p>
        </w:tc>
      </w:tr>
      <w:tr w:rsidR="005C4A0A" w:rsidRPr="006E5189" w:rsidTr="009755A7">
        <w:tc>
          <w:tcPr>
            <w:tcW w:w="1275" w:type="dxa"/>
          </w:tcPr>
          <w:p w:rsidR="005C4A0A" w:rsidRPr="006E5189" w:rsidRDefault="005C4A0A" w:rsidP="005C4A0A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5C4A0A" w:rsidRPr="005C4A0A" w:rsidRDefault="005C4A0A" w:rsidP="005C4A0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5C4A0A">
              <w:rPr>
                <w:rFonts w:ascii="Consolas" w:hAnsi="Consolas"/>
              </w:rPr>
              <w:t>Utworzenie i utrzymywanie zasobu polskiej terminologii informatycznej.</w:t>
            </w:r>
          </w:p>
        </w:tc>
      </w:tr>
      <w:tr w:rsidR="005C4A0A" w:rsidRPr="006E5189" w:rsidTr="009755A7">
        <w:tc>
          <w:tcPr>
            <w:tcW w:w="1275" w:type="dxa"/>
          </w:tcPr>
          <w:p w:rsidR="005C4A0A" w:rsidRPr="006E5189" w:rsidRDefault="005C4A0A" w:rsidP="005C4A0A">
            <w:pPr>
              <w:pStyle w:val="Akapitzlist"/>
              <w:widowControl/>
              <w:numPr>
                <w:ilvl w:val="0"/>
                <w:numId w:val="1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5C4A0A" w:rsidRPr="005C4A0A" w:rsidRDefault="005C4A0A" w:rsidP="005C4A0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5C4A0A">
              <w:rPr>
                <w:rFonts w:ascii="Consolas" w:hAnsi="Consolas"/>
              </w:rPr>
              <w:t>Wspierania polskoj</w:t>
            </w:r>
            <w:r w:rsidRPr="005C4A0A">
              <w:rPr>
                <w:rFonts w:ascii="Consolas" w:hAnsi="Consolas" w:hint="eastAsia"/>
              </w:rPr>
              <w:t>ę</w:t>
            </w:r>
            <w:r w:rsidRPr="005C4A0A">
              <w:rPr>
                <w:rFonts w:ascii="Consolas" w:hAnsi="Consolas"/>
              </w:rPr>
              <w:t xml:space="preserve">zycznej </w:t>
            </w:r>
            <w:proofErr w:type="spellStart"/>
            <w:r w:rsidRPr="005C4A0A">
              <w:rPr>
                <w:rFonts w:ascii="Consolas" w:hAnsi="Consolas"/>
              </w:rPr>
              <w:t>wikipedii</w:t>
            </w:r>
            <w:proofErr w:type="spellEnd"/>
            <w:r w:rsidRPr="005C4A0A">
              <w:rPr>
                <w:rFonts w:ascii="Consolas" w:hAnsi="Consolas"/>
              </w:rPr>
              <w:t xml:space="preserve"> w obszarze tematycznym Informatyka poprzez weryfikacj</w:t>
            </w:r>
            <w:r w:rsidRPr="005C4A0A">
              <w:rPr>
                <w:rFonts w:ascii="Consolas" w:hAnsi="Consolas" w:hint="eastAsia"/>
              </w:rPr>
              <w:t>ę</w:t>
            </w:r>
            <w:r w:rsidRPr="005C4A0A">
              <w:rPr>
                <w:rFonts w:ascii="Consolas" w:hAnsi="Consolas"/>
              </w:rPr>
              <w:t xml:space="preserve"> oraz opracowanie nowych hase</w:t>
            </w:r>
            <w:r w:rsidRPr="005C4A0A">
              <w:rPr>
                <w:rFonts w:ascii="Consolas" w:hAnsi="Consolas" w:hint="eastAsia"/>
              </w:rPr>
              <w:t>ł</w:t>
            </w:r>
            <w:r w:rsidRPr="005C4A0A">
              <w:rPr>
                <w:rFonts w:ascii="Consolas" w:hAnsi="Consolas"/>
              </w:rPr>
              <w:t xml:space="preserve"> z zakresu informatyki.</w:t>
            </w:r>
          </w:p>
        </w:tc>
      </w:tr>
    </w:tbl>
    <w:p w:rsidR="00072B78" w:rsidRPr="006E5189" w:rsidRDefault="00072B78" w:rsidP="00743257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9863A7" w:rsidRPr="006E5189" w:rsidTr="00B57F5E">
        <w:trPr>
          <w:tblHeader/>
        </w:trPr>
        <w:tc>
          <w:tcPr>
            <w:tcW w:w="1275" w:type="dxa"/>
            <w:shd w:val="clear" w:color="auto" w:fill="F2F2F2" w:themeFill="background1" w:themeFillShade="F2"/>
          </w:tcPr>
          <w:p w:rsidR="009863A7" w:rsidRPr="006E5189" w:rsidRDefault="009863A7" w:rsidP="00A81D95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9863A7" w:rsidRPr="006E5189" w:rsidRDefault="009863A7" w:rsidP="000C4695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6E5189">
              <w:rPr>
                <w:rFonts w:ascii="Consolas" w:hAnsi="Consolas" w:cs="Arial"/>
                <w:b/>
              </w:rPr>
              <w:t>„</w:t>
            </w:r>
            <w:r w:rsidR="00A81D95" w:rsidRPr="006E5189">
              <w:rPr>
                <w:rStyle w:val="Uwydatnienie"/>
                <w:rFonts w:ascii="Consolas" w:hAnsi="Consolas"/>
                <w:b/>
                <w:i w:val="0"/>
              </w:rPr>
              <w:t>Zawód – specjaliści i kompetencje</w:t>
            </w:r>
            <w:r w:rsidRPr="006E5189">
              <w:rPr>
                <w:rFonts w:ascii="Consolas" w:hAnsi="Consolas" w:cs="Arial"/>
                <w:b/>
              </w:rPr>
              <w:t>”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Utworzenie systemu odpłatnej certyfikacji zawodowej (stopni zawodowych) informatyków – okresowe, odnawialne potwierdzanie dorobku zawodowego i praktycznego z grupą docelową – informatycy zawodowi i przedsiębiorstwa informatyczne.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Organizacja platformy rozwoju zawodowego na preferencyjnych warunkach dla członków PTI - szkolenia, studia podyplomowe, certyfikacje produktowe.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Utworzenie rekomendowanego i okresowo aktualizowanego wzorcowego wykazu nazw stanowisk informatycznych merytorycznych, wraz z zarządczymi i towarzyszącymi w przedsiębiorstwach informatycznych, w powiązaniu z projektem CEPIS-u e-</w:t>
            </w:r>
            <w:proofErr w:type="spellStart"/>
            <w:r w:rsidRPr="006E5189">
              <w:rPr>
                <w:rFonts w:ascii="Consolas" w:hAnsi="Consolas"/>
              </w:rPr>
              <w:t>Competence</w:t>
            </w:r>
            <w:proofErr w:type="spellEnd"/>
            <w:r w:rsidRPr="006E5189">
              <w:rPr>
                <w:rFonts w:ascii="Consolas" w:hAnsi="Consolas"/>
              </w:rPr>
              <w:t xml:space="preserve"> Benchmark lub innymi z tego zakresu.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Podjęcie działań promocyjnych w zakresie certyfikacji specjalistów. 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Popularyzacja roli certyfikatów zawodowych (szczególnie wśród pracodawców).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Akcja "Informatycy informatykom" – szkolenia zawodowe dla informatyków czynnych zawodowo, opcjonalnie kończone certyfikatem wydawanym przez PTI.</w:t>
            </w:r>
          </w:p>
        </w:tc>
      </w:tr>
      <w:tr w:rsidR="00A1275D" w:rsidRPr="006E5189" w:rsidTr="009755A7">
        <w:tc>
          <w:tcPr>
            <w:tcW w:w="1275" w:type="dxa"/>
          </w:tcPr>
          <w:p w:rsidR="00A1275D" w:rsidRPr="006E5189" w:rsidRDefault="00A1275D" w:rsidP="00A1275D">
            <w:pPr>
              <w:pStyle w:val="Akapitzlist"/>
              <w:widowControl/>
              <w:numPr>
                <w:ilvl w:val="0"/>
                <w:numId w:val="21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A1275D" w:rsidRPr="006E5189" w:rsidRDefault="00A1275D" w:rsidP="00A1275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Cykliczne webinaria informatyczne – uruchomienie własnych kanałów webowych.</w:t>
            </w:r>
          </w:p>
        </w:tc>
      </w:tr>
    </w:tbl>
    <w:p w:rsidR="00244B04" w:rsidRPr="006E5189" w:rsidRDefault="00244B04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C25E7F" w:rsidRPr="006E5189" w:rsidTr="00B57F5E">
        <w:trPr>
          <w:tblHeader/>
        </w:trPr>
        <w:tc>
          <w:tcPr>
            <w:tcW w:w="1275" w:type="dxa"/>
            <w:shd w:val="clear" w:color="auto" w:fill="F2F2F2" w:themeFill="background1" w:themeFillShade="F2"/>
          </w:tcPr>
          <w:p w:rsidR="00C25E7F" w:rsidRPr="006E5189" w:rsidRDefault="00C25E7F" w:rsidP="00F10828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C25E7F" w:rsidRPr="006E5189" w:rsidRDefault="00C25E7F" w:rsidP="000C4695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6E5189">
              <w:rPr>
                <w:rFonts w:ascii="Consolas" w:hAnsi="Consolas" w:cs="Arial"/>
                <w:b/>
              </w:rPr>
              <w:t>„</w:t>
            </w:r>
            <w:r w:rsidR="00DB17F4" w:rsidRPr="006E5189">
              <w:rPr>
                <w:rStyle w:val="Uwydatnienie"/>
                <w:rFonts w:ascii="Consolas" w:hAnsi="Consolas"/>
                <w:b/>
                <w:i w:val="0"/>
              </w:rPr>
              <w:t>Edukacja – użytkownicy i umiejętności</w:t>
            </w:r>
            <w:r w:rsidRPr="006E5189">
              <w:rPr>
                <w:rFonts w:ascii="Consolas" w:hAnsi="Consolas" w:cs="Arial"/>
                <w:b/>
              </w:rPr>
              <w:t>”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Propagowanie i promowanie certyfikatów ECDL jako najlepszego sprawdzianu umiejętności komputerowych użytkowników informatyki – pracowników i kandydatów do pracy.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Udział w pracach nad Krajową Ramą Kwalifikacji i Zintegrowanym Rejestrem Kwalifikacji.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Kontynuowanie tradycyjnych i rozwijanie nowych produktów ECDL, jak e-Urzędnik i e-Nauczyciel, rozwijanie popularności certyfikatu ECDL na poziomie szkół gimnazjalnych, średnich oraz uczelni.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Promowanie standardu ECDL IT Security jako elementu bezpiecznego korzystania z narzędzi TIK.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Poszerzenie oferty certyfikacji dla osób niepełnosprawnych.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 w:line="242" w:lineRule="auto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Realizacja projektów związanych z ECDL służących skorelowaniu programów nauczania z wymaganiami ECDL.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 w:line="242" w:lineRule="auto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Upowszechnienie oferty ECDL dla administracji publicznej i samorządów.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Inicjowanie, wspieranie i organizacja projektów mających na celu dokształcanie i doskonalenie administracji szkolnej, nauczycieli TI i informatyki we współpracy z MEN.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Organizacja, wspieranie i patronaty dla pokazów, warsztatów, konkursów informatycznych, olimpiad i konferencji dla młodzieży.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Kontynuacja i rozwój konkursów informatycznych (np. TIK?-TAK!, Pan TIK, Bóbr i inne).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DB17F4">
            <w:pPr>
              <w:pStyle w:val="Akapitzlist"/>
              <w:widowControl/>
              <w:numPr>
                <w:ilvl w:val="0"/>
                <w:numId w:val="27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Wspieranie skierowanej na szkolnictwo akcji krzewienia myślenia algorytmicznego oraz podstaw programowania.</w:t>
            </w:r>
          </w:p>
        </w:tc>
      </w:tr>
    </w:tbl>
    <w:p w:rsidR="00C25E7F" w:rsidRPr="006E5189" w:rsidRDefault="00C25E7F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C25E7F" w:rsidRPr="006E5189" w:rsidTr="00B57F5E">
        <w:trPr>
          <w:tblHeader/>
        </w:trPr>
        <w:tc>
          <w:tcPr>
            <w:tcW w:w="1275" w:type="dxa"/>
            <w:shd w:val="clear" w:color="auto" w:fill="F2F2F2" w:themeFill="background1" w:themeFillShade="F2"/>
          </w:tcPr>
          <w:p w:rsidR="00C25E7F" w:rsidRPr="006E5189" w:rsidRDefault="00C25E7F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C25E7F" w:rsidRPr="006E5189" w:rsidRDefault="00C25E7F" w:rsidP="000C4695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6E5189">
              <w:rPr>
                <w:rFonts w:ascii="Consolas" w:hAnsi="Consolas" w:cs="Arial"/>
                <w:b/>
              </w:rPr>
              <w:t>„</w:t>
            </w:r>
            <w:r w:rsidR="00DB17F4" w:rsidRPr="006E5189">
              <w:rPr>
                <w:rStyle w:val="Uwydatnienie"/>
                <w:rFonts w:ascii="Consolas" w:hAnsi="Consolas"/>
                <w:b/>
                <w:i w:val="0"/>
              </w:rPr>
              <w:t>Usługi – niezależne ekspertyzy i doradztwo</w:t>
            </w:r>
            <w:r w:rsidRPr="006E5189">
              <w:rPr>
                <w:rFonts w:ascii="Consolas" w:hAnsi="Consolas" w:cs="Arial"/>
                <w:b/>
              </w:rPr>
              <w:t>”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Realizacja zleceń urzędów centralnych, instytucji publicznych, jednostek samorządu terytorialnego oraz firm komercyjnych.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Inicjowanie, wspieranie wspólnych projektów we współpracy administracji, uczelni i organizacji biznesowych.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Nawiązanie współpracy z jednostkami samorządu terytorialnego.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Ekspertyzy dla dostawców i odbiorców rozwiązań TIK z sektora biznesowego.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Współpraca z firmami informatycznymi – organizacja spotkań z ich udziałem, prezentacja ich dokonań, potrzeb, planów na przyszłość.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Współpraca partnerska z organizatorami konferencji ogólnopolskich i regionalnych oraz wydarzeń branżowych i informatycznych, a także z firmami medialnymi.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Wspólne projekty wykorzystujące potencjał Izby Rzeczoznawców i ECDL.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Realizacja projektów regionalnych przez oddziały i koła w zakresie Izby Rzeczoznawców i certyfikacji.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Realizacja wspólnych projektów ponadregionalnych w zakresie Izby Rzeczoznawców i certyfikacji.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Zbudowanie bazy wiedzy metodycznej i merytorycznej dla działalności Izby Rzeczoznawców. </w:t>
            </w:r>
          </w:p>
        </w:tc>
      </w:tr>
      <w:tr w:rsidR="00730ADB" w:rsidRPr="006E5189" w:rsidTr="009755A7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8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Rozwój regionalnych struktur Izby Rzeczoznawców PTI.</w:t>
            </w:r>
          </w:p>
        </w:tc>
      </w:tr>
    </w:tbl>
    <w:p w:rsidR="00C25E7F" w:rsidRPr="006E5189" w:rsidRDefault="00C25E7F" w:rsidP="00C25E7F">
      <w:pPr>
        <w:widowControl/>
        <w:jc w:val="both"/>
        <w:rPr>
          <w:rFonts w:ascii="Consolas" w:hAnsi="Consolas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C25E7F" w:rsidRPr="006E5189" w:rsidTr="00B57F5E">
        <w:trPr>
          <w:tblHeader/>
        </w:trPr>
        <w:tc>
          <w:tcPr>
            <w:tcW w:w="1275" w:type="dxa"/>
            <w:shd w:val="clear" w:color="auto" w:fill="F2F2F2" w:themeFill="background1" w:themeFillShade="F2"/>
          </w:tcPr>
          <w:p w:rsidR="00C25E7F" w:rsidRPr="006E5189" w:rsidRDefault="00C25E7F" w:rsidP="00072B7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C25E7F" w:rsidRPr="006E5189" w:rsidRDefault="00C25E7F" w:rsidP="000C4695">
            <w:pPr>
              <w:widowControl/>
              <w:jc w:val="both"/>
              <w:rPr>
                <w:rFonts w:ascii="Consolas" w:hAnsi="Consolas" w:cs="Arial"/>
                <w:b/>
              </w:rPr>
            </w:pPr>
            <w:r w:rsidRPr="006E5189">
              <w:rPr>
                <w:rFonts w:ascii="Consolas" w:hAnsi="Consolas" w:cs="Arial"/>
                <w:b/>
              </w:rPr>
              <w:t>„</w:t>
            </w:r>
            <w:r w:rsidR="00DB17F4" w:rsidRPr="006E5189">
              <w:rPr>
                <w:rFonts w:ascii="Consolas" w:hAnsi="Consolas"/>
                <w:b/>
                <w:iCs/>
              </w:rPr>
              <w:t>Społeczeństwo – technologie, obywatele, prawo, państwo</w:t>
            </w:r>
            <w:r w:rsidRPr="006E5189">
              <w:rPr>
                <w:rFonts w:ascii="Consolas" w:hAnsi="Consolas" w:cs="Arial"/>
                <w:b/>
              </w:rPr>
              <w:t>”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Promocja PTI w środowiskach nauki, administracji i biznesu. 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Popularyzacja różnych kategorii rozwiązań, w tym opartych na licencjach otwartych. 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Opiniowanie dotyczące zagadnień informatycznych z szerszym włączeniem do tego przedsięwzięcia członków PTI z przedsiębiorstw i uczelni.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Powołanie profesjonalnego zespołu opiniodawczego w zakresie regulacji prawnych dotyczących informatyki i teleinformatyki. 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Zapraszanie do uczestnictwa w blokach tematycznych dotyczących regulacji prawnych konferencji i seminariów organizowanych przez PTI przedstawicieli administracji i władz centralnych oraz lokalnych.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Cykliczne opracowywanie raportów i stanowisk przedstawiających aktualny stan polskiej informatyki oraz edukacji informatycznej i prognozy na przyszłość, dostępnych na witrynie PTI.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Popularyzacja opinii, raportów i stanowisk PTI.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 xml:space="preserve">Współpraca z organizacjami informatycznymi przy tworzeniu opinii. 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Propagowanie Kodeksu Zawodowego Informatyka (Kodeksu Etycznego PTI).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Kontynuacja i rozwój konferencji towarzystwa.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Udział w przedsięwzięciach na nową perspektywę unijną.</w:t>
            </w:r>
          </w:p>
        </w:tc>
      </w:tr>
      <w:tr w:rsidR="00730ADB" w:rsidRPr="006E5189" w:rsidTr="00244B04">
        <w:tc>
          <w:tcPr>
            <w:tcW w:w="1275" w:type="dxa"/>
          </w:tcPr>
          <w:p w:rsidR="00730ADB" w:rsidRPr="006E5189" w:rsidRDefault="00730ADB" w:rsidP="00F10828">
            <w:pPr>
              <w:pStyle w:val="Akapitzlist"/>
              <w:widowControl/>
              <w:numPr>
                <w:ilvl w:val="0"/>
                <w:numId w:val="29"/>
              </w:numPr>
              <w:ind w:left="391" w:hanging="357"/>
              <w:jc w:val="both"/>
              <w:rPr>
                <w:rFonts w:ascii="Consolas" w:hAnsi="Consolas" w:cs="Arial"/>
              </w:rPr>
            </w:pPr>
          </w:p>
        </w:tc>
        <w:tc>
          <w:tcPr>
            <w:tcW w:w="7938" w:type="dxa"/>
          </w:tcPr>
          <w:p w:rsidR="00730ADB" w:rsidRPr="006E5189" w:rsidRDefault="00730ADB" w:rsidP="00DB17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60"/>
              <w:ind w:left="319"/>
              <w:jc w:val="both"/>
              <w:rPr>
                <w:rFonts w:ascii="Consolas" w:hAnsi="Consolas"/>
              </w:rPr>
            </w:pPr>
            <w:r w:rsidRPr="006E5189">
              <w:rPr>
                <w:rFonts w:ascii="Consolas" w:hAnsi="Consolas"/>
              </w:rPr>
              <w:t>Uczestniczenie w procesie rozpowszechniania narzędzi TIK w podnoszeniu jakości życia osób niepełnosprawnych i trzeciego wieku (wirtualny uniwersytet III wieku).</w:t>
            </w:r>
          </w:p>
        </w:tc>
      </w:tr>
    </w:tbl>
    <w:p w:rsidR="00C25E7F" w:rsidRPr="006E5189" w:rsidRDefault="00C25E7F" w:rsidP="00C25E7F">
      <w:pPr>
        <w:widowControl/>
        <w:jc w:val="both"/>
        <w:rPr>
          <w:rFonts w:ascii="Consolas" w:hAnsi="Consolas" w:cs="Arial"/>
        </w:rPr>
      </w:pPr>
    </w:p>
    <w:p w:rsidR="00A1275D" w:rsidRDefault="00A1275D" w:rsidP="00743257">
      <w:pPr>
        <w:widowControl/>
        <w:jc w:val="both"/>
        <w:rPr>
          <w:rFonts w:ascii="Consolas" w:hAnsi="Consolas" w:cs="Arial"/>
        </w:rPr>
      </w:pPr>
    </w:p>
    <w:p w:rsidR="00C766C9" w:rsidRPr="006E5189" w:rsidRDefault="00C766C9" w:rsidP="00743257">
      <w:pPr>
        <w:widowControl/>
        <w:jc w:val="both"/>
        <w:rPr>
          <w:rFonts w:ascii="Consolas" w:hAnsi="Consolas" w:cs="Arial"/>
        </w:rPr>
      </w:pPr>
      <w:r w:rsidRPr="00C766C9">
        <w:rPr>
          <w:rFonts w:ascii="Consolas" w:hAnsi="Consolas" w:cs="Arial"/>
        </w:rPr>
        <w:t>Opracowanie: Janusz Doro</w:t>
      </w:r>
      <w:r w:rsidRPr="00C766C9">
        <w:rPr>
          <w:rFonts w:ascii="Consolas" w:hAnsi="Consolas" w:cs="Arial" w:hint="eastAsia"/>
        </w:rPr>
        <w:t>ż</w:t>
      </w:r>
      <w:r w:rsidRPr="00C766C9">
        <w:rPr>
          <w:rFonts w:ascii="Consolas" w:hAnsi="Consolas" w:cs="Arial"/>
        </w:rPr>
        <w:t>y</w:t>
      </w:r>
      <w:r w:rsidRPr="00C766C9">
        <w:rPr>
          <w:rFonts w:ascii="Consolas" w:hAnsi="Consolas" w:cs="Arial" w:hint="eastAsia"/>
        </w:rPr>
        <w:t>ń</w:t>
      </w:r>
      <w:r w:rsidRPr="00C766C9">
        <w:rPr>
          <w:rFonts w:ascii="Consolas" w:hAnsi="Consolas" w:cs="Arial"/>
        </w:rPr>
        <w:t>ski, wiceprezes PTI, wrzesie</w:t>
      </w:r>
      <w:r w:rsidRPr="00C766C9">
        <w:rPr>
          <w:rFonts w:ascii="Consolas" w:hAnsi="Consolas" w:cs="Arial" w:hint="eastAsia"/>
        </w:rPr>
        <w:t>ń</w:t>
      </w:r>
      <w:r w:rsidRPr="00C766C9">
        <w:rPr>
          <w:rFonts w:ascii="Consolas" w:hAnsi="Consolas" w:cs="Arial"/>
        </w:rPr>
        <w:t xml:space="preserve"> 2019 r.</w:t>
      </w:r>
    </w:p>
    <w:sectPr w:rsidR="00C766C9" w:rsidRPr="006E51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94" w:rsidRDefault="00721E94" w:rsidP="00D7583A">
      <w:r>
        <w:separator/>
      </w:r>
    </w:p>
  </w:endnote>
  <w:endnote w:type="continuationSeparator" w:id="0">
    <w:p w:rsidR="00721E94" w:rsidRDefault="00721E94" w:rsidP="00D7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Arial"/>
    <w:charset w:val="EE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3A" w:rsidRDefault="00D7583A">
    <w:pPr>
      <w:pStyle w:val="Stopka"/>
    </w:pPr>
    <w:r>
      <w:t>Plik</w:t>
    </w:r>
    <w:r w:rsidRPr="00C8765E">
      <w:rPr>
        <w:i/>
      </w:rPr>
      <w:t xml:space="preserve"> </w:t>
    </w:r>
    <w:r w:rsidRPr="00C8765E">
      <w:rPr>
        <w:i/>
      </w:rPr>
      <w:fldChar w:fldCharType="begin"/>
    </w:r>
    <w:r w:rsidRPr="00C8765E">
      <w:rPr>
        <w:i/>
      </w:rPr>
      <w:instrText xml:space="preserve"> FILENAME   \* MERGEFORMAT </w:instrText>
    </w:r>
    <w:r w:rsidRPr="00C8765E">
      <w:rPr>
        <w:i/>
      </w:rPr>
      <w:fldChar w:fldCharType="separate"/>
    </w:r>
    <w:r w:rsidR="009755A7">
      <w:rPr>
        <w:i/>
        <w:noProof/>
      </w:rPr>
      <w:t>Cele i formy oraz kierunki.docx</w:t>
    </w:r>
    <w:r w:rsidRPr="00C8765E">
      <w:rPr>
        <w:i/>
      </w:rPr>
      <w:fldChar w:fldCharType="end"/>
    </w:r>
    <w:r>
      <w:rPr>
        <w:i/>
      </w:rPr>
      <w:tab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B57F5E">
      <w:rPr>
        <w:noProof/>
      </w:rPr>
      <w:t>6</w:t>
    </w:r>
    <w:r>
      <w:fldChar w:fldCharType="end"/>
    </w:r>
    <w:r w:rsidRPr="00C8765E">
      <w:rPr>
        <w:i/>
        <w:sz w:val="16"/>
        <w:szCs w:val="16"/>
      </w:rPr>
      <w:t xml:space="preserve"> z </w:t>
    </w:r>
    <w:r w:rsidRPr="00C8765E">
      <w:rPr>
        <w:i/>
        <w:sz w:val="16"/>
        <w:szCs w:val="16"/>
      </w:rPr>
      <w:fldChar w:fldCharType="begin"/>
    </w:r>
    <w:r w:rsidRPr="00C8765E">
      <w:rPr>
        <w:i/>
        <w:sz w:val="16"/>
        <w:szCs w:val="16"/>
      </w:rPr>
      <w:instrText xml:space="preserve"> NUMPAGES   \* MERGEFORMAT </w:instrText>
    </w:r>
    <w:r w:rsidRPr="00C8765E">
      <w:rPr>
        <w:i/>
        <w:sz w:val="16"/>
        <w:szCs w:val="16"/>
      </w:rPr>
      <w:fldChar w:fldCharType="separate"/>
    </w:r>
    <w:r w:rsidR="00B57F5E">
      <w:rPr>
        <w:i/>
        <w:noProof/>
        <w:sz w:val="16"/>
        <w:szCs w:val="16"/>
      </w:rPr>
      <w:t>6</w:t>
    </w:r>
    <w:r w:rsidRPr="00C8765E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94" w:rsidRDefault="00721E94" w:rsidP="00D7583A">
      <w:r>
        <w:separator/>
      </w:r>
    </w:p>
  </w:footnote>
  <w:footnote w:type="continuationSeparator" w:id="0">
    <w:p w:rsidR="00721E94" w:rsidRDefault="00721E94" w:rsidP="00D7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2F"/>
    <w:multiLevelType w:val="hybridMultilevel"/>
    <w:tmpl w:val="05D05476"/>
    <w:lvl w:ilvl="0" w:tplc="03B8E208"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5A1"/>
    <w:multiLevelType w:val="hybridMultilevel"/>
    <w:tmpl w:val="5AD4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A4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0D0409D4"/>
    <w:multiLevelType w:val="hybridMultilevel"/>
    <w:tmpl w:val="9440C6FE"/>
    <w:lvl w:ilvl="0" w:tplc="AE62827E">
      <w:start w:val="1"/>
      <w:numFmt w:val="decimal"/>
      <w:lvlText w:val="K-I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55BE"/>
    <w:multiLevelType w:val="hybridMultilevel"/>
    <w:tmpl w:val="1B420990"/>
    <w:lvl w:ilvl="0" w:tplc="77963F2E">
      <w:start w:val="1"/>
      <w:numFmt w:val="lowerLetter"/>
      <w:lvlText w:val="2.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A62"/>
    <w:multiLevelType w:val="hybridMultilevel"/>
    <w:tmpl w:val="AEE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7431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3BA1"/>
    <w:multiLevelType w:val="multilevel"/>
    <w:tmpl w:val="F342AF28"/>
    <w:lvl w:ilvl="0">
      <w:start w:val="1"/>
      <w:numFmt w:val="lowerLetter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B5A52D8"/>
    <w:multiLevelType w:val="hybridMultilevel"/>
    <w:tmpl w:val="D25C9CB0"/>
    <w:lvl w:ilvl="0" w:tplc="2AAA24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D817AA"/>
    <w:multiLevelType w:val="hybridMultilevel"/>
    <w:tmpl w:val="1F64A59E"/>
    <w:lvl w:ilvl="0" w:tplc="5BD698BE">
      <w:numFmt w:val="decimal"/>
      <w:lvlText w:val="K-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6491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3772"/>
    <w:multiLevelType w:val="hybridMultilevel"/>
    <w:tmpl w:val="ADAAFFBA"/>
    <w:lvl w:ilvl="0" w:tplc="019CFAA8">
      <w:numFmt w:val="decimal"/>
      <w:lvlText w:val="K-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27C"/>
    <w:multiLevelType w:val="hybridMultilevel"/>
    <w:tmpl w:val="474ED656"/>
    <w:lvl w:ilvl="0" w:tplc="5F467DCE">
      <w:start w:val="1"/>
      <w:numFmt w:val="decimal"/>
      <w:pStyle w:val="Numerowany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E56"/>
    <w:multiLevelType w:val="hybridMultilevel"/>
    <w:tmpl w:val="6F2EC468"/>
    <w:lvl w:ilvl="0" w:tplc="E040B18A">
      <w:numFmt w:val="decimal"/>
      <w:lvlText w:val="K-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521"/>
    <w:multiLevelType w:val="hybridMultilevel"/>
    <w:tmpl w:val="58EA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356D5"/>
    <w:multiLevelType w:val="hybridMultilevel"/>
    <w:tmpl w:val="B4A25E8A"/>
    <w:lvl w:ilvl="0" w:tplc="5EFEA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190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C210AE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AAD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187C75"/>
    <w:multiLevelType w:val="hybridMultilevel"/>
    <w:tmpl w:val="00E8058E"/>
    <w:lvl w:ilvl="0" w:tplc="874CF9CE">
      <w:numFmt w:val="decimal"/>
      <w:lvlText w:val="K-II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1301"/>
    <w:multiLevelType w:val="hybridMultilevel"/>
    <w:tmpl w:val="03E8386A"/>
    <w:lvl w:ilvl="0" w:tplc="2D5EC812">
      <w:numFmt w:val="decimal"/>
      <w:lvlText w:val="K-IV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04F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3643D3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70A0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A0A76"/>
    <w:multiLevelType w:val="hybridMultilevel"/>
    <w:tmpl w:val="29B6A410"/>
    <w:lvl w:ilvl="0" w:tplc="762C00AC">
      <w:numFmt w:val="decimal"/>
      <w:lvlText w:val="K-VI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57D6B"/>
    <w:multiLevelType w:val="hybridMultilevel"/>
    <w:tmpl w:val="EE94521C"/>
    <w:lvl w:ilvl="0" w:tplc="9334A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7E60E3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B2852"/>
    <w:multiLevelType w:val="hybridMultilevel"/>
    <w:tmpl w:val="816C7896"/>
    <w:lvl w:ilvl="0" w:tplc="44B8D888">
      <w:start w:val="1"/>
      <w:numFmt w:val="lowerLetter"/>
      <w:lvlText w:val="1.%1.0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7"/>
  </w:num>
  <w:num w:numId="9">
    <w:abstractNumId w:val="7"/>
  </w:num>
  <w:num w:numId="10">
    <w:abstractNumId w:val="4"/>
  </w:num>
  <w:num w:numId="11">
    <w:abstractNumId w:val="25"/>
  </w:num>
  <w:num w:numId="12">
    <w:abstractNumId w:val="18"/>
  </w:num>
  <w:num w:numId="13">
    <w:abstractNumId w:val="3"/>
  </w:num>
  <w:num w:numId="14">
    <w:abstractNumId w:val="9"/>
  </w:num>
  <w:num w:numId="15">
    <w:abstractNumId w:val="26"/>
  </w:num>
  <w:num w:numId="16">
    <w:abstractNumId w:val="2"/>
  </w:num>
  <w:num w:numId="17">
    <w:abstractNumId w:val="11"/>
  </w:num>
  <w:num w:numId="18">
    <w:abstractNumId w:val="0"/>
  </w:num>
  <w:num w:numId="19">
    <w:abstractNumId w:val="15"/>
  </w:num>
  <w:num w:numId="20">
    <w:abstractNumId w:val="17"/>
  </w:num>
  <w:num w:numId="21">
    <w:abstractNumId w:val="19"/>
  </w:num>
  <w:num w:numId="22">
    <w:abstractNumId w:val="23"/>
  </w:num>
  <w:num w:numId="23">
    <w:abstractNumId w:val="10"/>
  </w:num>
  <w:num w:numId="24">
    <w:abstractNumId w:val="22"/>
  </w:num>
  <w:num w:numId="25">
    <w:abstractNumId w:val="14"/>
  </w:num>
  <w:num w:numId="26">
    <w:abstractNumId w:val="6"/>
  </w:num>
  <w:num w:numId="27">
    <w:abstractNumId w:val="20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46"/>
    <w:rsid w:val="00015B7F"/>
    <w:rsid w:val="00072B78"/>
    <w:rsid w:val="00106A48"/>
    <w:rsid w:val="001455D4"/>
    <w:rsid w:val="00166611"/>
    <w:rsid w:val="0017401B"/>
    <w:rsid w:val="001C6E22"/>
    <w:rsid w:val="00244B04"/>
    <w:rsid w:val="0033076D"/>
    <w:rsid w:val="00371BC4"/>
    <w:rsid w:val="00434146"/>
    <w:rsid w:val="00572D1B"/>
    <w:rsid w:val="00582AC1"/>
    <w:rsid w:val="00586E19"/>
    <w:rsid w:val="005C4A0A"/>
    <w:rsid w:val="00681BCF"/>
    <w:rsid w:val="006E16A5"/>
    <w:rsid w:val="006E5189"/>
    <w:rsid w:val="007203A7"/>
    <w:rsid w:val="00721E94"/>
    <w:rsid w:val="00730ADB"/>
    <w:rsid w:val="00743257"/>
    <w:rsid w:val="007C6D30"/>
    <w:rsid w:val="00811551"/>
    <w:rsid w:val="00926900"/>
    <w:rsid w:val="0093232E"/>
    <w:rsid w:val="00960C2C"/>
    <w:rsid w:val="009755A7"/>
    <w:rsid w:val="009863A7"/>
    <w:rsid w:val="00A1275D"/>
    <w:rsid w:val="00A54860"/>
    <w:rsid w:val="00A81D95"/>
    <w:rsid w:val="00AB2AAD"/>
    <w:rsid w:val="00B57F5E"/>
    <w:rsid w:val="00C25E7F"/>
    <w:rsid w:val="00C73F81"/>
    <w:rsid w:val="00C766C9"/>
    <w:rsid w:val="00CD6244"/>
    <w:rsid w:val="00D003BB"/>
    <w:rsid w:val="00D510EC"/>
    <w:rsid w:val="00D7583A"/>
    <w:rsid w:val="00D905F2"/>
    <w:rsid w:val="00D942C4"/>
    <w:rsid w:val="00DB17F4"/>
    <w:rsid w:val="00E06C11"/>
    <w:rsid w:val="00E06F16"/>
    <w:rsid w:val="00E35626"/>
    <w:rsid w:val="00E35F93"/>
    <w:rsid w:val="00E41FD9"/>
    <w:rsid w:val="00F10828"/>
    <w:rsid w:val="00F23A13"/>
    <w:rsid w:val="00F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C08D1-712B-4DA7-94B2-65AF721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4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y">
    <w:name w:val="Numerowany"/>
    <w:basedOn w:val="Normalny"/>
    <w:qFormat/>
    <w:rsid w:val="00434146"/>
    <w:pPr>
      <w:numPr>
        <w:numId w:val="1"/>
      </w:numPr>
      <w:spacing w:before="60"/>
      <w:jc w:val="both"/>
    </w:pPr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43414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7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1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1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A81D9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75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83A"/>
    <w:rPr>
      <w:rFonts w:ascii="Times New Roman Normalny" w:eastAsia="Times New Roman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8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83A"/>
    <w:rPr>
      <w:rFonts w:ascii="Times New Roman Normalny" w:eastAsia="Times New Roman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790-872D-4EA2-84A4-23CF044B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1843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11</cp:revision>
  <cp:lastPrinted>2019-09-05T11:41:00Z</cp:lastPrinted>
  <dcterms:created xsi:type="dcterms:W3CDTF">2019-09-04T12:49:00Z</dcterms:created>
  <dcterms:modified xsi:type="dcterms:W3CDTF">2019-09-10T10:33:00Z</dcterms:modified>
</cp:coreProperties>
</file>